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F3610A" w14:textId="04F608DA" w:rsidR="00622C26" w:rsidRDefault="00622C26" w:rsidP="00622C26">
      <w:pPr>
        <w:jc w:val="center"/>
        <w:rPr>
          <w:b/>
          <w:bCs/>
          <w:sz w:val="22"/>
          <w:szCs w:val="22"/>
        </w:rPr>
      </w:pPr>
      <w:r w:rsidRPr="00517516">
        <w:rPr>
          <w:b/>
          <w:bCs/>
          <w:sz w:val="22"/>
          <w:szCs w:val="22"/>
        </w:rPr>
        <w:t>Update on AT-1 bonds of YES Bank</w:t>
      </w:r>
      <w:r w:rsidR="0078398F" w:rsidRPr="00517516">
        <w:rPr>
          <w:b/>
          <w:bCs/>
          <w:sz w:val="22"/>
          <w:szCs w:val="22"/>
        </w:rPr>
        <w:t xml:space="preserve"> held by </w:t>
      </w:r>
      <w:r w:rsidR="00970ACF">
        <w:rPr>
          <w:b/>
          <w:bCs/>
          <w:sz w:val="22"/>
          <w:szCs w:val="22"/>
        </w:rPr>
        <w:t xml:space="preserve">schemes of </w:t>
      </w:r>
      <w:r w:rsidR="0078398F" w:rsidRPr="00517516">
        <w:rPr>
          <w:b/>
          <w:bCs/>
          <w:sz w:val="22"/>
          <w:szCs w:val="22"/>
        </w:rPr>
        <w:t xml:space="preserve">Baroda BNP Paribas </w:t>
      </w:r>
      <w:r w:rsidR="00970ACF">
        <w:rPr>
          <w:b/>
          <w:bCs/>
          <w:sz w:val="22"/>
          <w:szCs w:val="22"/>
        </w:rPr>
        <w:t xml:space="preserve">Mutual Fund </w:t>
      </w:r>
    </w:p>
    <w:p w14:paraId="7046C1AC" w14:textId="77777777" w:rsidR="008C5F5F" w:rsidRPr="00517516" w:rsidRDefault="008C5F5F" w:rsidP="00622C26">
      <w:pPr>
        <w:jc w:val="center"/>
        <w:rPr>
          <w:b/>
          <w:bCs/>
          <w:sz w:val="22"/>
          <w:szCs w:val="22"/>
        </w:rPr>
      </w:pPr>
    </w:p>
    <w:p w14:paraId="4C9AEED7" w14:textId="26D97893" w:rsidR="00622C26" w:rsidRPr="00517516" w:rsidRDefault="00622C26" w:rsidP="00622C26">
      <w:pPr>
        <w:jc w:val="both"/>
        <w:rPr>
          <w:b/>
          <w:bCs/>
          <w:sz w:val="22"/>
          <w:szCs w:val="22"/>
        </w:rPr>
      </w:pPr>
      <w:r w:rsidRPr="00517516">
        <w:rPr>
          <w:b/>
          <w:bCs/>
          <w:sz w:val="22"/>
          <w:szCs w:val="22"/>
        </w:rPr>
        <w:t>Background</w:t>
      </w:r>
    </w:p>
    <w:p w14:paraId="365EA571" w14:textId="078B01F1" w:rsidR="008C5F5F" w:rsidRDefault="00622C26" w:rsidP="00622C26">
      <w:pPr>
        <w:jc w:val="both"/>
        <w:rPr>
          <w:sz w:val="22"/>
          <w:szCs w:val="22"/>
        </w:rPr>
      </w:pPr>
      <w:r w:rsidRPr="00517516">
        <w:rPr>
          <w:sz w:val="22"/>
          <w:szCs w:val="22"/>
        </w:rPr>
        <w:t xml:space="preserve">On March 06, 2020, the debt security of Yes Bank 09.00% (Perpetual BASEL III compliant Additional Tier I) was downgraded to D category by ICRA, the Credit Rating Agency. Pursuant to the SEBI circular </w:t>
      </w:r>
      <w:r w:rsidR="00861DB9">
        <w:rPr>
          <w:sz w:val="22"/>
          <w:szCs w:val="22"/>
        </w:rPr>
        <w:t xml:space="preserve">requirements, </w:t>
      </w:r>
      <w:r w:rsidRPr="00517516">
        <w:rPr>
          <w:sz w:val="22"/>
          <w:szCs w:val="22"/>
        </w:rPr>
        <w:t xml:space="preserve">segregated portfolios were created in </w:t>
      </w:r>
      <w:r w:rsidR="006426FB">
        <w:rPr>
          <w:sz w:val="22"/>
          <w:szCs w:val="22"/>
        </w:rPr>
        <w:t xml:space="preserve">2 </w:t>
      </w:r>
      <w:r w:rsidRPr="00517516">
        <w:rPr>
          <w:sz w:val="22"/>
          <w:szCs w:val="22"/>
        </w:rPr>
        <w:t>schemes holding Yes Bank security viz. Baroda BNP Paribas Credit Risk Fund* (erstwhile known as Baroda Credit Risk Fund) and Baroda BNP Paribas Medium Duration Fund* (erstwhile known as Baroda Treasury Advantage Fund)</w:t>
      </w:r>
      <w:r w:rsidR="002B2608">
        <w:rPr>
          <w:sz w:val="22"/>
          <w:szCs w:val="22"/>
        </w:rPr>
        <w:t xml:space="preserve"> on March 06, 2020</w:t>
      </w:r>
      <w:r w:rsidRPr="00517516">
        <w:rPr>
          <w:sz w:val="22"/>
          <w:szCs w:val="22"/>
        </w:rPr>
        <w:t xml:space="preserve">. </w:t>
      </w:r>
      <w:r w:rsidR="004C584F">
        <w:rPr>
          <w:sz w:val="22"/>
          <w:szCs w:val="22"/>
        </w:rPr>
        <w:t xml:space="preserve">Apart from the above, the security was also held in </w:t>
      </w:r>
      <w:r w:rsidR="004C584F" w:rsidRPr="005D646A">
        <w:rPr>
          <w:sz w:val="22"/>
          <w:szCs w:val="22"/>
        </w:rPr>
        <w:t>Baroda BNP Paribas Balanced Advantage Fund</w:t>
      </w:r>
      <w:r w:rsidR="004C584F" w:rsidRPr="00517516">
        <w:rPr>
          <w:sz w:val="22"/>
          <w:szCs w:val="22"/>
        </w:rPr>
        <w:t xml:space="preserve"> </w:t>
      </w:r>
      <w:r w:rsidR="004C584F">
        <w:rPr>
          <w:sz w:val="22"/>
          <w:szCs w:val="22"/>
        </w:rPr>
        <w:t xml:space="preserve">and </w:t>
      </w:r>
      <w:r w:rsidR="004C584F" w:rsidRPr="005D646A">
        <w:rPr>
          <w:sz w:val="22"/>
          <w:szCs w:val="22"/>
        </w:rPr>
        <w:t>Baroda BNP Paribas Equity Savings Fund</w:t>
      </w:r>
      <w:r w:rsidR="004C584F">
        <w:rPr>
          <w:sz w:val="22"/>
          <w:szCs w:val="22"/>
        </w:rPr>
        <w:t xml:space="preserve">. </w:t>
      </w:r>
      <w:r w:rsidRPr="00517516">
        <w:rPr>
          <w:sz w:val="22"/>
          <w:szCs w:val="22"/>
        </w:rPr>
        <w:t xml:space="preserve">The </w:t>
      </w:r>
      <w:r w:rsidR="004C584F">
        <w:rPr>
          <w:sz w:val="22"/>
          <w:szCs w:val="22"/>
        </w:rPr>
        <w:t xml:space="preserve">total </w:t>
      </w:r>
      <w:r w:rsidRPr="00517516">
        <w:rPr>
          <w:sz w:val="22"/>
          <w:szCs w:val="22"/>
        </w:rPr>
        <w:t xml:space="preserve">value of the security </w:t>
      </w:r>
      <w:r w:rsidR="004C584F">
        <w:rPr>
          <w:sz w:val="22"/>
          <w:szCs w:val="22"/>
        </w:rPr>
        <w:t xml:space="preserve">across 4 schemes was </w:t>
      </w:r>
      <w:r w:rsidRPr="00517516">
        <w:rPr>
          <w:sz w:val="22"/>
          <w:szCs w:val="22"/>
        </w:rPr>
        <w:t>Rs.</w:t>
      </w:r>
      <w:r w:rsidR="004C584F">
        <w:rPr>
          <w:sz w:val="22"/>
          <w:szCs w:val="22"/>
        </w:rPr>
        <w:t xml:space="preserve">74.5 crores </w:t>
      </w:r>
      <w:r w:rsidRPr="00517516">
        <w:rPr>
          <w:sz w:val="22"/>
          <w:szCs w:val="22"/>
        </w:rPr>
        <w:t>(</w:t>
      </w:r>
      <w:r w:rsidR="004C584F">
        <w:rPr>
          <w:sz w:val="22"/>
          <w:szCs w:val="22"/>
        </w:rPr>
        <w:t xml:space="preserve">face value </w:t>
      </w:r>
      <w:r w:rsidRPr="00517516">
        <w:rPr>
          <w:sz w:val="22"/>
          <w:szCs w:val="22"/>
        </w:rPr>
        <w:t xml:space="preserve">as of March 05, 2020) and the same was marked down to zero on March 06, 2020.  </w:t>
      </w:r>
    </w:p>
    <w:p w14:paraId="1E41302B" w14:textId="77777777" w:rsidR="008C5F5F" w:rsidRDefault="008C5F5F" w:rsidP="00622C26">
      <w:pPr>
        <w:jc w:val="both"/>
        <w:rPr>
          <w:b/>
          <w:bCs/>
          <w:i/>
          <w:iCs/>
          <w:sz w:val="22"/>
          <w:szCs w:val="22"/>
        </w:rPr>
      </w:pPr>
    </w:p>
    <w:p w14:paraId="11BC8875" w14:textId="4DB3CAF2" w:rsidR="00622C26" w:rsidRDefault="008C5F5F" w:rsidP="00622C26">
      <w:pPr>
        <w:jc w:val="both"/>
        <w:rPr>
          <w:i/>
          <w:iCs/>
          <w:sz w:val="20"/>
          <w:szCs w:val="20"/>
        </w:rPr>
      </w:pPr>
      <w:r w:rsidRPr="008C5F5F">
        <w:rPr>
          <w:b/>
          <w:bCs/>
          <w:i/>
          <w:iCs/>
          <w:sz w:val="22"/>
          <w:szCs w:val="22"/>
        </w:rPr>
        <w:t>Note:</w:t>
      </w:r>
      <w:r>
        <w:rPr>
          <w:sz w:val="22"/>
          <w:szCs w:val="22"/>
        </w:rPr>
        <w:t xml:space="preserve"> </w:t>
      </w:r>
      <w:r w:rsidR="0078398F" w:rsidRPr="00517516">
        <w:rPr>
          <w:i/>
          <w:iCs/>
          <w:sz w:val="20"/>
          <w:szCs w:val="20"/>
        </w:rPr>
        <w:t>(</w:t>
      </w:r>
      <w:r w:rsidR="00622C26" w:rsidRPr="00517516">
        <w:rPr>
          <w:i/>
          <w:iCs/>
          <w:sz w:val="20"/>
          <w:szCs w:val="20"/>
        </w:rPr>
        <w:t xml:space="preserve">*Baroda </w:t>
      </w:r>
      <w:r w:rsidR="006426FB">
        <w:rPr>
          <w:i/>
          <w:iCs/>
          <w:sz w:val="20"/>
          <w:szCs w:val="20"/>
        </w:rPr>
        <w:t xml:space="preserve">Treasury Advantage Fund got merged with </w:t>
      </w:r>
      <w:r w:rsidR="00622C26" w:rsidRPr="00517516">
        <w:rPr>
          <w:i/>
          <w:iCs/>
          <w:sz w:val="20"/>
          <w:szCs w:val="20"/>
        </w:rPr>
        <w:t>BNP Paribas Medium Duration Fund</w:t>
      </w:r>
      <w:r w:rsidR="006426FB">
        <w:rPr>
          <w:i/>
          <w:iCs/>
          <w:sz w:val="20"/>
          <w:szCs w:val="20"/>
        </w:rPr>
        <w:t xml:space="preserve"> which </w:t>
      </w:r>
      <w:r w:rsidR="00861DB9">
        <w:rPr>
          <w:i/>
          <w:iCs/>
          <w:sz w:val="20"/>
          <w:szCs w:val="20"/>
        </w:rPr>
        <w:t xml:space="preserve">then </w:t>
      </w:r>
      <w:r w:rsidR="00622C26" w:rsidRPr="00517516">
        <w:rPr>
          <w:i/>
          <w:iCs/>
          <w:sz w:val="20"/>
          <w:szCs w:val="20"/>
        </w:rPr>
        <w:t xml:space="preserve">merged into Baroda BNP Paribas Credit Risk Fund on </w:t>
      </w:r>
      <w:r w:rsidR="0078398F" w:rsidRPr="00517516">
        <w:rPr>
          <w:i/>
          <w:iCs/>
          <w:sz w:val="20"/>
          <w:szCs w:val="20"/>
        </w:rPr>
        <w:t>September 11, 2024</w:t>
      </w:r>
      <w:r w:rsidR="00622C26" w:rsidRPr="00517516">
        <w:rPr>
          <w:i/>
          <w:iCs/>
          <w:sz w:val="20"/>
          <w:szCs w:val="20"/>
        </w:rPr>
        <w:t>. Subsequently, Baroda BNP Paribas Credit Risk Fund merged into Baroda BNP Paribas Short Term Fund effective August 21, 2026.</w:t>
      </w:r>
      <w:r>
        <w:rPr>
          <w:i/>
          <w:iCs/>
          <w:sz w:val="20"/>
          <w:szCs w:val="20"/>
        </w:rPr>
        <w:t xml:space="preserve"> Hence both segregated portfolios are now under Baroda BNP Paribas Short Term Fund</w:t>
      </w:r>
      <w:r w:rsidR="0078398F" w:rsidRPr="00517516">
        <w:rPr>
          <w:i/>
          <w:iCs/>
          <w:sz w:val="20"/>
          <w:szCs w:val="20"/>
        </w:rPr>
        <w:t>)</w:t>
      </w:r>
    </w:p>
    <w:p w14:paraId="4297A265" w14:textId="77777777" w:rsidR="008C5F5F" w:rsidRPr="00517516" w:rsidRDefault="008C5F5F" w:rsidP="00622C26">
      <w:pPr>
        <w:jc w:val="both"/>
        <w:rPr>
          <w:i/>
          <w:iCs/>
          <w:sz w:val="20"/>
          <w:szCs w:val="20"/>
        </w:rPr>
      </w:pPr>
    </w:p>
    <w:p w14:paraId="02FF221D" w14:textId="795D1B4F" w:rsidR="004C030C" w:rsidRPr="00517516" w:rsidRDefault="0078398F" w:rsidP="00622C26">
      <w:pPr>
        <w:jc w:val="both"/>
        <w:rPr>
          <w:sz w:val="22"/>
          <w:szCs w:val="22"/>
        </w:rPr>
      </w:pPr>
      <w:r w:rsidRPr="00517516">
        <w:rPr>
          <w:sz w:val="22"/>
          <w:szCs w:val="22"/>
        </w:rPr>
        <w:t>On January 20, 2023, t</w:t>
      </w:r>
      <w:r w:rsidR="00622C26" w:rsidRPr="00517516">
        <w:rPr>
          <w:sz w:val="22"/>
          <w:szCs w:val="22"/>
        </w:rPr>
        <w:t>he High Court of Bombay upheld the application of the debenture holders and set aside the Administrator’s decision of writing off the AT1 bonds.</w:t>
      </w:r>
      <w:r w:rsidR="00861DB9">
        <w:rPr>
          <w:sz w:val="22"/>
          <w:szCs w:val="22"/>
        </w:rPr>
        <w:t xml:space="preserve"> </w:t>
      </w:r>
      <w:r w:rsidR="00622C26" w:rsidRPr="00517516">
        <w:rPr>
          <w:sz w:val="22"/>
          <w:szCs w:val="22"/>
        </w:rPr>
        <w:t xml:space="preserve">Aggrieved by the Judgement of the High Court of Bombay, both Yes Bank and the RBI separately approached the Supreme Court of India by filing Special Leave Petitions (SLPs) under Article 136 of the Constitution of India against the Judgement and the Supreme Court stayed the order quashing the write-off of AT1 bonds. </w:t>
      </w:r>
      <w:r w:rsidR="004C030C" w:rsidRPr="00517516">
        <w:rPr>
          <w:sz w:val="22"/>
          <w:szCs w:val="22"/>
        </w:rPr>
        <w:t xml:space="preserve">There were multiple hearings </w:t>
      </w:r>
      <w:r w:rsidR="00861DB9">
        <w:rPr>
          <w:sz w:val="22"/>
          <w:szCs w:val="22"/>
        </w:rPr>
        <w:t xml:space="preserve">thereafter </w:t>
      </w:r>
      <w:r w:rsidR="004C030C" w:rsidRPr="00517516">
        <w:rPr>
          <w:sz w:val="22"/>
          <w:szCs w:val="22"/>
        </w:rPr>
        <w:t xml:space="preserve">in the Hon’ble Supreme Court in this matter. </w:t>
      </w:r>
    </w:p>
    <w:p w14:paraId="7CEA91AD" w14:textId="77777777" w:rsidR="008C5F5F" w:rsidRDefault="008C5F5F" w:rsidP="00622C26">
      <w:pPr>
        <w:jc w:val="both"/>
        <w:rPr>
          <w:b/>
          <w:bCs/>
          <w:sz w:val="22"/>
          <w:szCs w:val="22"/>
        </w:rPr>
      </w:pPr>
    </w:p>
    <w:p w14:paraId="786009AA" w14:textId="45E1A7AE" w:rsidR="007C2D70" w:rsidRPr="00517516" w:rsidRDefault="007C2D70" w:rsidP="00622C26">
      <w:pPr>
        <w:jc w:val="both"/>
        <w:rPr>
          <w:b/>
          <w:bCs/>
          <w:sz w:val="22"/>
          <w:szCs w:val="22"/>
        </w:rPr>
      </w:pPr>
      <w:r w:rsidRPr="00517516">
        <w:rPr>
          <w:b/>
          <w:bCs/>
          <w:sz w:val="22"/>
          <w:szCs w:val="22"/>
        </w:rPr>
        <w:t xml:space="preserve">Update </w:t>
      </w:r>
    </w:p>
    <w:p w14:paraId="7C6036B2" w14:textId="5CAF71FC" w:rsidR="0078398F" w:rsidRDefault="004C030C" w:rsidP="00861DB9">
      <w:pPr>
        <w:jc w:val="both"/>
        <w:rPr>
          <w:sz w:val="22"/>
          <w:szCs w:val="22"/>
        </w:rPr>
      </w:pPr>
      <w:r w:rsidRPr="00517516">
        <w:rPr>
          <w:sz w:val="22"/>
          <w:szCs w:val="22"/>
        </w:rPr>
        <w:t xml:space="preserve">On 15th October 2026, the Hon’ble Supreme Court decided in favour of bond holders. We are </w:t>
      </w:r>
      <w:r w:rsidR="00083338" w:rsidRPr="00517516">
        <w:rPr>
          <w:sz w:val="22"/>
          <w:szCs w:val="22"/>
        </w:rPr>
        <w:t xml:space="preserve">reviewing </w:t>
      </w:r>
      <w:r w:rsidRPr="00517516">
        <w:rPr>
          <w:sz w:val="22"/>
          <w:szCs w:val="22"/>
        </w:rPr>
        <w:t xml:space="preserve">the order and </w:t>
      </w:r>
      <w:r w:rsidR="00D91107">
        <w:rPr>
          <w:sz w:val="22"/>
          <w:szCs w:val="22"/>
        </w:rPr>
        <w:t xml:space="preserve">will monitor the </w:t>
      </w:r>
      <w:r w:rsidRPr="00517516">
        <w:rPr>
          <w:sz w:val="22"/>
          <w:szCs w:val="22"/>
        </w:rPr>
        <w:t>developments</w:t>
      </w:r>
      <w:r w:rsidR="00083338" w:rsidRPr="00517516">
        <w:rPr>
          <w:sz w:val="22"/>
          <w:szCs w:val="22"/>
        </w:rPr>
        <w:t>.</w:t>
      </w:r>
    </w:p>
    <w:p w14:paraId="1C217C52" w14:textId="77777777" w:rsidR="00D91107" w:rsidRPr="00517516" w:rsidRDefault="00D91107" w:rsidP="00861DB9">
      <w:pPr>
        <w:jc w:val="both"/>
        <w:rPr>
          <w:sz w:val="22"/>
          <w:szCs w:val="22"/>
        </w:rPr>
      </w:pPr>
    </w:p>
    <w:p w14:paraId="08276133" w14:textId="738C8E09" w:rsidR="007C2D70" w:rsidRDefault="007C2D70" w:rsidP="00622C26">
      <w:pPr>
        <w:jc w:val="both"/>
        <w:rPr>
          <w:sz w:val="22"/>
          <w:szCs w:val="22"/>
        </w:rPr>
      </w:pPr>
      <w:r w:rsidRPr="00517516">
        <w:rPr>
          <w:sz w:val="22"/>
          <w:szCs w:val="22"/>
        </w:rPr>
        <w:t xml:space="preserve">Investors </w:t>
      </w:r>
      <w:r w:rsidR="002160EB">
        <w:rPr>
          <w:sz w:val="22"/>
          <w:szCs w:val="22"/>
        </w:rPr>
        <w:t xml:space="preserve">and distributors </w:t>
      </w:r>
      <w:r w:rsidRPr="00517516">
        <w:rPr>
          <w:sz w:val="22"/>
          <w:szCs w:val="22"/>
        </w:rPr>
        <w:t xml:space="preserve">are requested to take note of the </w:t>
      </w:r>
      <w:r w:rsidR="00D91107">
        <w:rPr>
          <w:sz w:val="22"/>
          <w:szCs w:val="22"/>
        </w:rPr>
        <w:t xml:space="preserve">said </w:t>
      </w:r>
      <w:r w:rsidRPr="00517516">
        <w:rPr>
          <w:sz w:val="22"/>
          <w:szCs w:val="22"/>
        </w:rPr>
        <w:t>information</w:t>
      </w:r>
      <w:r w:rsidR="00D91107">
        <w:rPr>
          <w:sz w:val="22"/>
          <w:szCs w:val="22"/>
        </w:rPr>
        <w:t>.</w:t>
      </w:r>
      <w:r w:rsidRPr="00517516">
        <w:rPr>
          <w:sz w:val="22"/>
          <w:szCs w:val="22"/>
        </w:rPr>
        <w:t xml:space="preserve"> </w:t>
      </w:r>
    </w:p>
    <w:p w14:paraId="615A3DCD" w14:textId="77777777" w:rsidR="008C5F5F" w:rsidRPr="00517516" w:rsidRDefault="008C5F5F" w:rsidP="00622C26">
      <w:pPr>
        <w:jc w:val="both"/>
        <w:rPr>
          <w:sz w:val="22"/>
          <w:szCs w:val="22"/>
        </w:rPr>
      </w:pPr>
    </w:p>
    <w:p w14:paraId="629CFA88" w14:textId="0709D45A" w:rsidR="00005466" w:rsidRDefault="00517516" w:rsidP="00622C26">
      <w:pPr>
        <w:jc w:val="both"/>
        <w:rPr>
          <w:b/>
          <w:bCs/>
          <w:sz w:val="22"/>
          <w:szCs w:val="22"/>
        </w:rPr>
      </w:pPr>
      <w:r w:rsidRPr="008C5F5F">
        <w:rPr>
          <w:b/>
          <w:bCs/>
          <w:sz w:val="22"/>
          <w:szCs w:val="22"/>
        </w:rPr>
        <w:t xml:space="preserve">Scheme-wise holding details as on October 15, 2026 </w:t>
      </w:r>
    </w:p>
    <w:p w14:paraId="54CA901B" w14:textId="77777777" w:rsidR="008C5F5F" w:rsidRPr="008C5F5F" w:rsidRDefault="008C5F5F" w:rsidP="00622C26">
      <w:pPr>
        <w:jc w:val="both"/>
        <w:rPr>
          <w:b/>
          <w:bCs/>
          <w:sz w:val="22"/>
          <w:szCs w:val="22"/>
        </w:rPr>
      </w:pPr>
    </w:p>
    <w:tbl>
      <w:tblPr>
        <w:tblStyle w:val="TableGrid"/>
        <w:tblW w:w="9154" w:type="dxa"/>
        <w:tblLook w:val="04A0" w:firstRow="1" w:lastRow="0" w:firstColumn="1" w:lastColumn="0" w:noHBand="0" w:noVBand="1"/>
      </w:tblPr>
      <w:tblGrid>
        <w:gridCol w:w="2689"/>
        <w:gridCol w:w="2184"/>
        <w:gridCol w:w="1494"/>
        <w:gridCol w:w="718"/>
        <w:gridCol w:w="2069"/>
      </w:tblGrid>
      <w:tr w:rsidR="005D646A" w:rsidRPr="005D646A" w14:paraId="10577384" w14:textId="77777777" w:rsidTr="005D646A">
        <w:tc>
          <w:tcPr>
            <w:tcW w:w="2689" w:type="dxa"/>
          </w:tcPr>
          <w:p w14:paraId="64476C6D" w14:textId="6158122B" w:rsidR="005D646A" w:rsidRPr="005D646A" w:rsidRDefault="005D646A" w:rsidP="005D646A">
            <w:pPr>
              <w:jc w:val="center"/>
              <w:rPr>
                <w:b/>
                <w:bCs/>
                <w:sz w:val="22"/>
                <w:szCs w:val="22"/>
              </w:rPr>
            </w:pPr>
            <w:r w:rsidRPr="005D646A">
              <w:rPr>
                <w:b/>
                <w:bCs/>
                <w:sz w:val="22"/>
                <w:szCs w:val="22"/>
              </w:rPr>
              <w:t>Scheme name</w:t>
            </w:r>
          </w:p>
        </w:tc>
        <w:tc>
          <w:tcPr>
            <w:tcW w:w="2184" w:type="dxa"/>
          </w:tcPr>
          <w:p w14:paraId="096B7EC5" w14:textId="0ABDF622" w:rsidR="005D646A" w:rsidRPr="005D646A" w:rsidRDefault="005D646A" w:rsidP="005D646A">
            <w:pPr>
              <w:jc w:val="center"/>
              <w:rPr>
                <w:b/>
                <w:bCs/>
                <w:sz w:val="22"/>
                <w:szCs w:val="22"/>
              </w:rPr>
            </w:pPr>
            <w:r w:rsidRPr="005D646A">
              <w:rPr>
                <w:b/>
                <w:bCs/>
                <w:sz w:val="22"/>
                <w:szCs w:val="22"/>
              </w:rPr>
              <w:t>Erstwhile scheme name</w:t>
            </w:r>
          </w:p>
        </w:tc>
        <w:tc>
          <w:tcPr>
            <w:tcW w:w="1494" w:type="dxa"/>
          </w:tcPr>
          <w:p w14:paraId="00C31C39" w14:textId="75216787" w:rsidR="005D646A" w:rsidRPr="005D646A" w:rsidRDefault="005D646A" w:rsidP="005D646A">
            <w:pPr>
              <w:jc w:val="center"/>
              <w:rPr>
                <w:b/>
                <w:bCs/>
                <w:sz w:val="22"/>
                <w:szCs w:val="22"/>
              </w:rPr>
            </w:pPr>
            <w:r w:rsidRPr="005D646A">
              <w:rPr>
                <w:b/>
                <w:bCs/>
                <w:sz w:val="22"/>
                <w:szCs w:val="22"/>
              </w:rPr>
              <w:t>ISIN</w:t>
            </w:r>
          </w:p>
        </w:tc>
        <w:tc>
          <w:tcPr>
            <w:tcW w:w="718" w:type="dxa"/>
          </w:tcPr>
          <w:p w14:paraId="23178165" w14:textId="34982927" w:rsidR="005D646A" w:rsidRPr="005D646A" w:rsidRDefault="005D646A" w:rsidP="005D646A">
            <w:pPr>
              <w:jc w:val="center"/>
              <w:rPr>
                <w:b/>
                <w:bCs/>
                <w:sz w:val="22"/>
                <w:szCs w:val="22"/>
              </w:rPr>
            </w:pPr>
            <w:r w:rsidRPr="005D646A">
              <w:rPr>
                <w:b/>
                <w:bCs/>
                <w:sz w:val="22"/>
                <w:szCs w:val="22"/>
              </w:rPr>
              <w:t>Units</w:t>
            </w:r>
          </w:p>
        </w:tc>
        <w:tc>
          <w:tcPr>
            <w:tcW w:w="2069" w:type="dxa"/>
          </w:tcPr>
          <w:p w14:paraId="57CBB377" w14:textId="3F0A3E19" w:rsidR="005D646A" w:rsidRPr="005D646A" w:rsidRDefault="005D646A" w:rsidP="005D646A">
            <w:pPr>
              <w:jc w:val="center"/>
              <w:rPr>
                <w:b/>
                <w:bCs/>
                <w:sz w:val="22"/>
                <w:szCs w:val="22"/>
              </w:rPr>
            </w:pPr>
            <w:r w:rsidRPr="005D646A">
              <w:rPr>
                <w:b/>
                <w:bCs/>
                <w:sz w:val="22"/>
                <w:szCs w:val="22"/>
              </w:rPr>
              <w:t xml:space="preserve">Face Value </w:t>
            </w:r>
            <w:r w:rsidR="00E322D0">
              <w:rPr>
                <w:b/>
                <w:bCs/>
                <w:sz w:val="22"/>
                <w:szCs w:val="22"/>
              </w:rPr>
              <w:t>(in Rs.)</w:t>
            </w:r>
          </w:p>
        </w:tc>
      </w:tr>
      <w:tr w:rsidR="005D646A" w:rsidRPr="005D646A" w14:paraId="07AFF57E" w14:textId="77777777" w:rsidTr="005D646A">
        <w:tc>
          <w:tcPr>
            <w:tcW w:w="2689" w:type="dxa"/>
          </w:tcPr>
          <w:p w14:paraId="665294A1" w14:textId="4550E4D9" w:rsidR="005D646A" w:rsidRPr="005D646A" w:rsidRDefault="005D646A" w:rsidP="005D646A">
            <w:pPr>
              <w:jc w:val="both"/>
              <w:rPr>
                <w:sz w:val="22"/>
                <w:szCs w:val="22"/>
              </w:rPr>
            </w:pPr>
            <w:r w:rsidRPr="005D646A">
              <w:rPr>
                <w:sz w:val="22"/>
                <w:szCs w:val="22"/>
              </w:rPr>
              <w:t>Baroda BNP Paribas Short Term Fund - Segregated Portfolio 1</w:t>
            </w:r>
          </w:p>
        </w:tc>
        <w:tc>
          <w:tcPr>
            <w:tcW w:w="2184" w:type="dxa"/>
          </w:tcPr>
          <w:p w14:paraId="3FDF8752" w14:textId="77777777" w:rsidR="005D646A" w:rsidRPr="005D646A" w:rsidRDefault="005D646A" w:rsidP="005D646A">
            <w:pPr>
              <w:jc w:val="both"/>
              <w:rPr>
                <w:sz w:val="22"/>
                <w:szCs w:val="22"/>
              </w:rPr>
            </w:pPr>
            <w:r w:rsidRPr="005D646A">
              <w:rPr>
                <w:sz w:val="22"/>
                <w:szCs w:val="22"/>
              </w:rPr>
              <w:t>Baroda Credit Risk Fund</w:t>
            </w:r>
          </w:p>
          <w:p w14:paraId="091CCC0B" w14:textId="77777777" w:rsidR="005D646A" w:rsidRPr="005D646A" w:rsidRDefault="005D646A" w:rsidP="005D646A">
            <w:pPr>
              <w:jc w:val="both"/>
              <w:rPr>
                <w:sz w:val="22"/>
                <w:szCs w:val="22"/>
              </w:rPr>
            </w:pPr>
          </w:p>
        </w:tc>
        <w:tc>
          <w:tcPr>
            <w:tcW w:w="1494" w:type="dxa"/>
          </w:tcPr>
          <w:p w14:paraId="20557056" w14:textId="18B3E7F2" w:rsidR="005D646A" w:rsidRPr="005D646A" w:rsidRDefault="005D646A" w:rsidP="005D646A">
            <w:pPr>
              <w:jc w:val="right"/>
              <w:rPr>
                <w:sz w:val="22"/>
                <w:szCs w:val="22"/>
              </w:rPr>
            </w:pPr>
            <w:r w:rsidRPr="005D646A">
              <w:rPr>
                <w:color w:val="000000"/>
                <w:sz w:val="20"/>
                <w:szCs w:val="20"/>
              </w:rPr>
              <w:t>INE528G08394</w:t>
            </w:r>
          </w:p>
        </w:tc>
        <w:tc>
          <w:tcPr>
            <w:tcW w:w="718" w:type="dxa"/>
          </w:tcPr>
          <w:p w14:paraId="30CC81FC" w14:textId="581E5FFE" w:rsidR="005D646A" w:rsidRPr="005D646A" w:rsidRDefault="005D646A" w:rsidP="005D646A">
            <w:pPr>
              <w:jc w:val="right"/>
              <w:rPr>
                <w:sz w:val="22"/>
                <w:szCs w:val="22"/>
              </w:rPr>
            </w:pPr>
            <w:r w:rsidRPr="005D646A">
              <w:rPr>
                <w:sz w:val="22"/>
                <w:szCs w:val="22"/>
              </w:rPr>
              <w:t>250</w:t>
            </w:r>
          </w:p>
        </w:tc>
        <w:tc>
          <w:tcPr>
            <w:tcW w:w="2069" w:type="dxa"/>
          </w:tcPr>
          <w:p w14:paraId="30A37F08" w14:textId="4FB1B77C" w:rsidR="005D646A" w:rsidRPr="005D646A" w:rsidRDefault="005D646A" w:rsidP="005D646A">
            <w:pPr>
              <w:jc w:val="right"/>
              <w:rPr>
                <w:sz w:val="22"/>
                <w:szCs w:val="22"/>
              </w:rPr>
            </w:pPr>
            <w:r w:rsidRPr="005D646A">
              <w:rPr>
                <w:color w:val="000000"/>
                <w:sz w:val="22"/>
                <w:szCs w:val="22"/>
              </w:rPr>
              <w:t xml:space="preserve">  25,00,00,000.00 </w:t>
            </w:r>
          </w:p>
        </w:tc>
      </w:tr>
      <w:tr w:rsidR="005D646A" w:rsidRPr="005D646A" w14:paraId="570F8C46" w14:textId="77777777" w:rsidTr="005D646A">
        <w:trPr>
          <w:trHeight w:val="998"/>
        </w:trPr>
        <w:tc>
          <w:tcPr>
            <w:tcW w:w="2689" w:type="dxa"/>
          </w:tcPr>
          <w:p w14:paraId="1D177A45" w14:textId="7C9B79B3" w:rsidR="005D646A" w:rsidRPr="005D646A" w:rsidRDefault="005D646A" w:rsidP="005D646A">
            <w:pPr>
              <w:jc w:val="both"/>
              <w:rPr>
                <w:sz w:val="22"/>
                <w:szCs w:val="22"/>
              </w:rPr>
            </w:pPr>
            <w:r w:rsidRPr="005D646A">
              <w:rPr>
                <w:sz w:val="22"/>
                <w:szCs w:val="22"/>
              </w:rPr>
              <w:t>Baroda BNP Paribas Short Term Fund - Segregated Portfolio 2</w:t>
            </w:r>
          </w:p>
        </w:tc>
        <w:tc>
          <w:tcPr>
            <w:tcW w:w="2184" w:type="dxa"/>
          </w:tcPr>
          <w:p w14:paraId="3FD1A22F" w14:textId="7B175F50" w:rsidR="005D646A" w:rsidRPr="005D646A" w:rsidRDefault="005D646A" w:rsidP="005D646A">
            <w:pPr>
              <w:jc w:val="both"/>
              <w:rPr>
                <w:sz w:val="22"/>
                <w:szCs w:val="22"/>
              </w:rPr>
            </w:pPr>
            <w:r w:rsidRPr="005D646A">
              <w:rPr>
                <w:sz w:val="22"/>
                <w:szCs w:val="22"/>
              </w:rPr>
              <w:t xml:space="preserve">Baroda Treasury Advantage Fund </w:t>
            </w:r>
          </w:p>
          <w:p w14:paraId="02B42A3F" w14:textId="77777777" w:rsidR="005D646A" w:rsidRPr="005D646A" w:rsidRDefault="005D646A" w:rsidP="005D646A">
            <w:pPr>
              <w:jc w:val="both"/>
              <w:rPr>
                <w:sz w:val="22"/>
                <w:szCs w:val="22"/>
              </w:rPr>
            </w:pPr>
          </w:p>
        </w:tc>
        <w:tc>
          <w:tcPr>
            <w:tcW w:w="1494" w:type="dxa"/>
          </w:tcPr>
          <w:p w14:paraId="4BA43728" w14:textId="48D5FDF7" w:rsidR="005D646A" w:rsidRPr="005D646A" w:rsidRDefault="005D646A" w:rsidP="005D646A">
            <w:pPr>
              <w:jc w:val="right"/>
              <w:rPr>
                <w:sz w:val="22"/>
                <w:szCs w:val="22"/>
              </w:rPr>
            </w:pPr>
            <w:r w:rsidRPr="005D646A">
              <w:rPr>
                <w:color w:val="000000"/>
                <w:sz w:val="20"/>
                <w:szCs w:val="20"/>
              </w:rPr>
              <w:t>INE528G08394</w:t>
            </w:r>
          </w:p>
        </w:tc>
        <w:tc>
          <w:tcPr>
            <w:tcW w:w="718" w:type="dxa"/>
          </w:tcPr>
          <w:p w14:paraId="28BA69BB" w14:textId="08C3691D" w:rsidR="005D646A" w:rsidRPr="005D646A" w:rsidRDefault="005D646A" w:rsidP="005D646A">
            <w:pPr>
              <w:jc w:val="right"/>
              <w:rPr>
                <w:sz w:val="22"/>
                <w:szCs w:val="22"/>
              </w:rPr>
            </w:pPr>
            <w:r w:rsidRPr="005D646A">
              <w:rPr>
                <w:sz w:val="22"/>
                <w:szCs w:val="22"/>
              </w:rPr>
              <w:t>335</w:t>
            </w:r>
          </w:p>
        </w:tc>
        <w:tc>
          <w:tcPr>
            <w:tcW w:w="2069" w:type="dxa"/>
          </w:tcPr>
          <w:p w14:paraId="1276FB69" w14:textId="6FAB59F8" w:rsidR="005D646A" w:rsidRPr="005D646A" w:rsidRDefault="005D646A" w:rsidP="005D646A">
            <w:pPr>
              <w:jc w:val="right"/>
              <w:rPr>
                <w:sz w:val="22"/>
                <w:szCs w:val="22"/>
              </w:rPr>
            </w:pPr>
            <w:r w:rsidRPr="005D646A">
              <w:rPr>
                <w:color w:val="000000"/>
                <w:sz w:val="22"/>
                <w:szCs w:val="22"/>
              </w:rPr>
              <w:t xml:space="preserve"> 33,50,00,000.00 </w:t>
            </w:r>
          </w:p>
        </w:tc>
      </w:tr>
      <w:tr w:rsidR="005D646A" w:rsidRPr="005D646A" w14:paraId="038303B6" w14:textId="77777777" w:rsidTr="005D646A">
        <w:tc>
          <w:tcPr>
            <w:tcW w:w="2689" w:type="dxa"/>
          </w:tcPr>
          <w:p w14:paraId="3893BDF5" w14:textId="55537E66" w:rsidR="005D646A" w:rsidRPr="005D646A" w:rsidRDefault="005D646A" w:rsidP="005D646A">
            <w:pPr>
              <w:jc w:val="both"/>
              <w:rPr>
                <w:sz w:val="22"/>
                <w:szCs w:val="22"/>
              </w:rPr>
            </w:pPr>
            <w:r w:rsidRPr="005D646A">
              <w:rPr>
                <w:sz w:val="22"/>
                <w:szCs w:val="22"/>
              </w:rPr>
              <w:t>Baroda BNP Paribas Balanced Advantage Fund</w:t>
            </w:r>
          </w:p>
        </w:tc>
        <w:tc>
          <w:tcPr>
            <w:tcW w:w="2184" w:type="dxa"/>
          </w:tcPr>
          <w:p w14:paraId="136C11D4" w14:textId="77777777" w:rsidR="005D646A" w:rsidRPr="005D646A" w:rsidRDefault="005D646A" w:rsidP="005D646A">
            <w:pPr>
              <w:jc w:val="both"/>
              <w:rPr>
                <w:sz w:val="22"/>
                <w:szCs w:val="22"/>
              </w:rPr>
            </w:pPr>
            <w:r w:rsidRPr="005D646A">
              <w:rPr>
                <w:sz w:val="22"/>
                <w:szCs w:val="22"/>
              </w:rPr>
              <w:t>Baroda Dynamic Equity Fund</w:t>
            </w:r>
          </w:p>
          <w:p w14:paraId="3F2A1FCE" w14:textId="77777777" w:rsidR="005D646A" w:rsidRPr="005D646A" w:rsidRDefault="005D646A" w:rsidP="005D646A">
            <w:pPr>
              <w:jc w:val="both"/>
              <w:rPr>
                <w:sz w:val="22"/>
                <w:szCs w:val="22"/>
              </w:rPr>
            </w:pPr>
          </w:p>
        </w:tc>
        <w:tc>
          <w:tcPr>
            <w:tcW w:w="1494" w:type="dxa"/>
          </w:tcPr>
          <w:p w14:paraId="64B92A43" w14:textId="547CB868" w:rsidR="005D646A" w:rsidRPr="005D646A" w:rsidRDefault="005D646A" w:rsidP="005D646A">
            <w:pPr>
              <w:jc w:val="right"/>
              <w:rPr>
                <w:sz w:val="22"/>
                <w:szCs w:val="22"/>
              </w:rPr>
            </w:pPr>
            <w:r w:rsidRPr="005D646A">
              <w:rPr>
                <w:color w:val="000000"/>
                <w:sz w:val="20"/>
                <w:szCs w:val="20"/>
              </w:rPr>
              <w:t>INE528G08394</w:t>
            </w:r>
          </w:p>
        </w:tc>
        <w:tc>
          <w:tcPr>
            <w:tcW w:w="718" w:type="dxa"/>
          </w:tcPr>
          <w:p w14:paraId="16EB34C0" w14:textId="75E4C727" w:rsidR="005D646A" w:rsidRPr="005D646A" w:rsidRDefault="005D646A" w:rsidP="005D646A">
            <w:pPr>
              <w:jc w:val="right"/>
              <w:rPr>
                <w:sz w:val="22"/>
                <w:szCs w:val="22"/>
              </w:rPr>
            </w:pPr>
            <w:r w:rsidRPr="005D646A">
              <w:rPr>
                <w:sz w:val="22"/>
                <w:szCs w:val="22"/>
              </w:rPr>
              <w:t>110</w:t>
            </w:r>
          </w:p>
        </w:tc>
        <w:tc>
          <w:tcPr>
            <w:tcW w:w="2069" w:type="dxa"/>
          </w:tcPr>
          <w:p w14:paraId="58536DEF" w14:textId="03EDD6CF" w:rsidR="005D646A" w:rsidRPr="005D646A" w:rsidRDefault="005D646A" w:rsidP="005D646A">
            <w:pPr>
              <w:jc w:val="right"/>
              <w:rPr>
                <w:sz w:val="22"/>
                <w:szCs w:val="22"/>
              </w:rPr>
            </w:pPr>
            <w:r w:rsidRPr="005D646A">
              <w:rPr>
                <w:color w:val="000000"/>
                <w:sz w:val="22"/>
                <w:szCs w:val="22"/>
              </w:rPr>
              <w:t xml:space="preserve">  11,00,00,000.00 </w:t>
            </w:r>
          </w:p>
        </w:tc>
      </w:tr>
      <w:tr w:rsidR="005D646A" w:rsidRPr="005D646A" w14:paraId="2554334F" w14:textId="77777777" w:rsidTr="005D646A">
        <w:tc>
          <w:tcPr>
            <w:tcW w:w="2689" w:type="dxa"/>
          </w:tcPr>
          <w:p w14:paraId="4C5588AA" w14:textId="7F2501EB" w:rsidR="005D646A" w:rsidRPr="005D646A" w:rsidRDefault="005D646A" w:rsidP="005D646A">
            <w:pPr>
              <w:jc w:val="both"/>
              <w:rPr>
                <w:sz w:val="22"/>
                <w:szCs w:val="22"/>
              </w:rPr>
            </w:pPr>
            <w:r w:rsidRPr="005D646A">
              <w:rPr>
                <w:sz w:val="22"/>
                <w:szCs w:val="22"/>
              </w:rPr>
              <w:t>Baroda BNP Paribas Equity Savings Fund</w:t>
            </w:r>
          </w:p>
        </w:tc>
        <w:tc>
          <w:tcPr>
            <w:tcW w:w="2184" w:type="dxa"/>
          </w:tcPr>
          <w:p w14:paraId="358C29B4" w14:textId="77777777" w:rsidR="005D646A" w:rsidRPr="005D646A" w:rsidRDefault="005D646A" w:rsidP="005D646A">
            <w:pPr>
              <w:jc w:val="both"/>
              <w:rPr>
                <w:sz w:val="22"/>
                <w:szCs w:val="22"/>
              </w:rPr>
            </w:pPr>
            <w:r w:rsidRPr="005D646A">
              <w:rPr>
                <w:sz w:val="22"/>
                <w:szCs w:val="22"/>
              </w:rPr>
              <w:t>Baroda Equity Savings Fund</w:t>
            </w:r>
          </w:p>
          <w:p w14:paraId="4B1F9891" w14:textId="77777777" w:rsidR="005D646A" w:rsidRPr="005D646A" w:rsidRDefault="005D646A" w:rsidP="005D646A">
            <w:pPr>
              <w:jc w:val="both"/>
              <w:rPr>
                <w:sz w:val="22"/>
                <w:szCs w:val="22"/>
              </w:rPr>
            </w:pPr>
          </w:p>
        </w:tc>
        <w:tc>
          <w:tcPr>
            <w:tcW w:w="1494" w:type="dxa"/>
          </w:tcPr>
          <w:p w14:paraId="7A806346" w14:textId="4FBB5927" w:rsidR="005D646A" w:rsidRPr="005D646A" w:rsidRDefault="005D646A" w:rsidP="005D646A">
            <w:pPr>
              <w:jc w:val="right"/>
              <w:rPr>
                <w:sz w:val="22"/>
                <w:szCs w:val="22"/>
              </w:rPr>
            </w:pPr>
            <w:r w:rsidRPr="005D646A">
              <w:rPr>
                <w:color w:val="000000"/>
                <w:sz w:val="20"/>
                <w:szCs w:val="20"/>
              </w:rPr>
              <w:t>INE528G08394</w:t>
            </w:r>
          </w:p>
        </w:tc>
        <w:tc>
          <w:tcPr>
            <w:tcW w:w="718" w:type="dxa"/>
          </w:tcPr>
          <w:p w14:paraId="0868BA97" w14:textId="2E97395D" w:rsidR="005D646A" w:rsidRPr="005D646A" w:rsidRDefault="005D646A" w:rsidP="005D646A">
            <w:pPr>
              <w:jc w:val="right"/>
              <w:rPr>
                <w:sz w:val="22"/>
                <w:szCs w:val="22"/>
              </w:rPr>
            </w:pPr>
            <w:r w:rsidRPr="005D646A">
              <w:rPr>
                <w:sz w:val="22"/>
                <w:szCs w:val="22"/>
              </w:rPr>
              <w:t>50</w:t>
            </w:r>
          </w:p>
        </w:tc>
        <w:tc>
          <w:tcPr>
            <w:tcW w:w="2069" w:type="dxa"/>
          </w:tcPr>
          <w:p w14:paraId="34CADFF7" w14:textId="4D644468" w:rsidR="005D646A" w:rsidRPr="005D646A" w:rsidRDefault="005D646A" w:rsidP="005D646A">
            <w:pPr>
              <w:jc w:val="right"/>
              <w:rPr>
                <w:sz w:val="22"/>
                <w:szCs w:val="22"/>
              </w:rPr>
            </w:pPr>
            <w:r w:rsidRPr="005D646A">
              <w:rPr>
                <w:color w:val="000000"/>
                <w:sz w:val="22"/>
                <w:szCs w:val="22"/>
              </w:rPr>
              <w:t xml:space="preserve">    5,00,00,000.00 </w:t>
            </w:r>
          </w:p>
        </w:tc>
      </w:tr>
    </w:tbl>
    <w:p w14:paraId="4C95FAC6" w14:textId="4DBB47EA" w:rsidR="00517516" w:rsidRPr="00517516" w:rsidRDefault="00517516" w:rsidP="00622C26">
      <w:pPr>
        <w:jc w:val="both"/>
        <w:rPr>
          <w:sz w:val="22"/>
          <w:szCs w:val="22"/>
        </w:rPr>
      </w:pPr>
      <w:r>
        <w:rPr>
          <w:sz w:val="22"/>
          <w:szCs w:val="22"/>
        </w:rPr>
        <w:tab/>
      </w:r>
      <w:r>
        <w:rPr>
          <w:sz w:val="22"/>
          <w:szCs w:val="22"/>
        </w:rPr>
        <w:tab/>
      </w:r>
    </w:p>
    <w:sectPr w:rsidR="00517516" w:rsidRPr="0051751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2C26"/>
    <w:rsid w:val="00005466"/>
    <w:rsid w:val="00083338"/>
    <w:rsid w:val="002160EB"/>
    <w:rsid w:val="002B2608"/>
    <w:rsid w:val="004C030C"/>
    <w:rsid w:val="004C584F"/>
    <w:rsid w:val="00517516"/>
    <w:rsid w:val="005D646A"/>
    <w:rsid w:val="00622C26"/>
    <w:rsid w:val="006426FB"/>
    <w:rsid w:val="0078398F"/>
    <w:rsid w:val="0078522D"/>
    <w:rsid w:val="007C2D70"/>
    <w:rsid w:val="00861DB9"/>
    <w:rsid w:val="008C5F5F"/>
    <w:rsid w:val="00970ACF"/>
    <w:rsid w:val="00AF2DF0"/>
    <w:rsid w:val="00D91107"/>
    <w:rsid w:val="00E322D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7D5F39"/>
  <w15:chartTrackingRefBased/>
  <w15:docId w15:val="{866DA83C-2E4E-490A-A348-BDE46201D0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5F5F"/>
    <w:pPr>
      <w:spacing w:after="0" w:line="240" w:lineRule="auto"/>
    </w:pPr>
    <w:rPr>
      <w:rFonts w:ascii="Times New Roman" w:eastAsia="Times New Roman" w:hAnsi="Times New Roman" w:cs="Times New Roman"/>
      <w:kern w:val="0"/>
      <w:lang w:eastAsia="en-IN"/>
    </w:rPr>
  </w:style>
  <w:style w:type="paragraph" w:styleId="Heading1">
    <w:name w:val="heading 1"/>
    <w:basedOn w:val="Normal"/>
    <w:next w:val="Normal"/>
    <w:link w:val="Heading1Char"/>
    <w:uiPriority w:val="9"/>
    <w:qFormat/>
    <w:rsid w:val="00622C26"/>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rPr>
  </w:style>
  <w:style w:type="paragraph" w:styleId="Heading2">
    <w:name w:val="heading 2"/>
    <w:basedOn w:val="Normal"/>
    <w:next w:val="Normal"/>
    <w:link w:val="Heading2Char"/>
    <w:uiPriority w:val="9"/>
    <w:semiHidden/>
    <w:unhideWhenUsed/>
    <w:qFormat/>
    <w:rsid w:val="00622C26"/>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rPr>
  </w:style>
  <w:style w:type="paragraph" w:styleId="Heading3">
    <w:name w:val="heading 3"/>
    <w:basedOn w:val="Normal"/>
    <w:next w:val="Normal"/>
    <w:link w:val="Heading3Char"/>
    <w:uiPriority w:val="9"/>
    <w:semiHidden/>
    <w:unhideWhenUsed/>
    <w:qFormat/>
    <w:rsid w:val="00622C26"/>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rPr>
  </w:style>
  <w:style w:type="paragraph" w:styleId="Heading4">
    <w:name w:val="heading 4"/>
    <w:basedOn w:val="Normal"/>
    <w:next w:val="Normal"/>
    <w:link w:val="Heading4Char"/>
    <w:uiPriority w:val="9"/>
    <w:semiHidden/>
    <w:unhideWhenUsed/>
    <w:qFormat/>
    <w:rsid w:val="00622C26"/>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eastAsia="en-US"/>
    </w:rPr>
  </w:style>
  <w:style w:type="paragraph" w:styleId="Heading5">
    <w:name w:val="heading 5"/>
    <w:basedOn w:val="Normal"/>
    <w:next w:val="Normal"/>
    <w:link w:val="Heading5Char"/>
    <w:uiPriority w:val="9"/>
    <w:semiHidden/>
    <w:unhideWhenUsed/>
    <w:qFormat/>
    <w:rsid w:val="00622C26"/>
    <w:pPr>
      <w:keepNext/>
      <w:keepLines/>
      <w:spacing w:before="80" w:after="40" w:line="278" w:lineRule="auto"/>
      <w:outlineLvl w:val="4"/>
    </w:pPr>
    <w:rPr>
      <w:rFonts w:asciiTheme="minorHAnsi" w:eastAsiaTheme="majorEastAsia" w:hAnsiTheme="minorHAnsi" w:cstheme="majorBidi"/>
      <w:color w:val="0F4761" w:themeColor="accent1" w:themeShade="BF"/>
      <w:kern w:val="2"/>
      <w:lang w:eastAsia="en-US"/>
    </w:rPr>
  </w:style>
  <w:style w:type="paragraph" w:styleId="Heading6">
    <w:name w:val="heading 6"/>
    <w:basedOn w:val="Normal"/>
    <w:next w:val="Normal"/>
    <w:link w:val="Heading6Char"/>
    <w:uiPriority w:val="9"/>
    <w:semiHidden/>
    <w:unhideWhenUsed/>
    <w:qFormat/>
    <w:rsid w:val="00622C26"/>
    <w:pPr>
      <w:keepNext/>
      <w:keepLines/>
      <w:spacing w:before="40" w:line="278" w:lineRule="auto"/>
      <w:outlineLvl w:val="5"/>
    </w:pPr>
    <w:rPr>
      <w:rFonts w:asciiTheme="minorHAnsi" w:eastAsiaTheme="majorEastAsia" w:hAnsiTheme="minorHAnsi" w:cstheme="majorBidi"/>
      <w:i/>
      <w:iCs/>
      <w:color w:val="595959" w:themeColor="text1" w:themeTint="A6"/>
      <w:kern w:val="2"/>
      <w:lang w:eastAsia="en-US"/>
    </w:rPr>
  </w:style>
  <w:style w:type="paragraph" w:styleId="Heading7">
    <w:name w:val="heading 7"/>
    <w:basedOn w:val="Normal"/>
    <w:next w:val="Normal"/>
    <w:link w:val="Heading7Char"/>
    <w:uiPriority w:val="9"/>
    <w:semiHidden/>
    <w:unhideWhenUsed/>
    <w:qFormat/>
    <w:rsid w:val="00622C26"/>
    <w:pPr>
      <w:keepNext/>
      <w:keepLines/>
      <w:spacing w:before="40" w:line="278" w:lineRule="auto"/>
      <w:outlineLvl w:val="6"/>
    </w:pPr>
    <w:rPr>
      <w:rFonts w:asciiTheme="minorHAnsi" w:eastAsiaTheme="majorEastAsia" w:hAnsiTheme="minorHAnsi" w:cstheme="majorBidi"/>
      <w:color w:val="595959" w:themeColor="text1" w:themeTint="A6"/>
      <w:kern w:val="2"/>
      <w:lang w:eastAsia="en-US"/>
    </w:rPr>
  </w:style>
  <w:style w:type="paragraph" w:styleId="Heading8">
    <w:name w:val="heading 8"/>
    <w:basedOn w:val="Normal"/>
    <w:next w:val="Normal"/>
    <w:link w:val="Heading8Char"/>
    <w:uiPriority w:val="9"/>
    <w:semiHidden/>
    <w:unhideWhenUsed/>
    <w:qFormat/>
    <w:rsid w:val="00622C26"/>
    <w:pPr>
      <w:keepNext/>
      <w:keepLines/>
      <w:spacing w:line="278" w:lineRule="auto"/>
      <w:outlineLvl w:val="7"/>
    </w:pPr>
    <w:rPr>
      <w:rFonts w:asciiTheme="minorHAnsi" w:eastAsiaTheme="majorEastAsia" w:hAnsiTheme="minorHAnsi" w:cstheme="majorBidi"/>
      <w:i/>
      <w:iCs/>
      <w:color w:val="272727" w:themeColor="text1" w:themeTint="D8"/>
      <w:kern w:val="2"/>
      <w:lang w:eastAsia="en-US"/>
    </w:rPr>
  </w:style>
  <w:style w:type="paragraph" w:styleId="Heading9">
    <w:name w:val="heading 9"/>
    <w:basedOn w:val="Normal"/>
    <w:next w:val="Normal"/>
    <w:link w:val="Heading9Char"/>
    <w:uiPriority w:val="9"/>
    <w:semiHidden/>
    <w:unhideWhenUsed/>
    <w:qFormat/>
    <w:rsid w:val="00622C26"/>
    <w:pPr>
      <w:keepNext/>
      <w:keepLines/>
      <w:spacing w:line="278" w:lineRule="auto"/>
      <w:outlineLvl w:val="8"/>
    </w:pPr>
    <w:rPr>
      <w:rFonts w:asciiTheme="minorHAnsi" w:eastAsiaTheme="majorEastAsia" w:hAnsiTheme="minorHAnsi" w:cstheme="majorBidi"/>
      <w:color w:val="272727" w:themeColor="text1" w:themeTint="D8"/>
      <w:kern w:val="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2C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2C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2C2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2C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2C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2C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2C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2C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2C26"/>
    <w:rPr>
      <w:rFonts w:eastAsiaTheme="majorEastAsia" w:cstheme="majorBidi"/>
      <w:color w:val="272727" w:themeColor="text1" w:themeTint="D8"/>
    </w:rPr>
  </w:style>
  <w:style w:type="paragraph" w:styleId="Title">
    <w:name w:val="Title"/>
    <w:basedOn w:val="Normal"/>
    <w:next w:val="Normal"/>
    <w:link w:val="TitleChar"/>
    <w:uiPriority w:val="10"/>
    <w:qFormat/>
    <w:rsid w:val="00622C26"/>
    <w:pPr>
      <w:spacing w:after="80"/>
      <w:contextualSpacing/>
    </w:pPr>
    <w:rPr>
      <w:rFonts w:asciiTheme="majorHAnsi" w:eastAsiaTheme="majorEastAsia" w:hAnsiTheme="majorHAnsi" w:cstheme="majorBidi"/>
      <w:spacing w:val="-10"/>
      <w:kern w:val="28"/>
      <w:sz w:val="56"/>
      <w:szCs w:val="56"/>
      <w:lang w:eastAsia="en-US"/>
    </w:rPr>
  </w:style>
  <w:style w:type="character" w:customStyle="1" w:styleId="TitleChar">
    <w:name w:val="Title Char"/>
    <w:basedOn w:val="DefaultParagraphFont"/>
    <w:link w:val="Title"/>
    <w:uiPriority w:val="10"/>
    <w:rsid w:val="00622C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2C26"/>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rPr>
  </w:style>
  <w:style w:type="character" w:customStyle="1" w:styleId="SubtitleChar">
    <w:name w:val="Subtitle Char"/>
    <w:basedOn w:val="DefaultParagraphFont"/>
    <w:link w:val="Subtitle"/>
    <w:uiPriority w:val="11"/>
    <w:rsid w:val="00622C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2C26"/>
    <w:pPr>
      <w:spacing w:before="160" w:after="160" w:line="278" w:lineRule="auto"/>
      <w:jc w:val="center"/>
    </w:pPr>
    <w:rPr>
      <w:rFonts w:asciiTheme="minorHAnsi" w:eastAsiaTheme="minorHAnsi" w:hAnsiTheme="minorHAnsi" w:cstheme="minorBidi"/>
      <w:i/>
      <w:iCs/>
      <w:color w:val="404040" w:themeColor="text1" w:themeTint="BF"/>
      <w:kern w:val="2"/>
      <w:lang w:eastAsia="en-US"/>
    </w:rPr>
  </w:style>
  <w:style w:type="character" w:customStyle="1" w:styleId="QuoteChar">
    <w:name w:val="Quote Char"/>
    <w:basedOn w:val="DefaultParagraphFont"/>
    <w:link w:val="Quote"/>
    <w:uiPriority w:val="29"/>
    <w:rsid w:val="00622C26"/>
    <w:rPr>
      <w:i/>
      <w:iCs/>
      <w:color w:val="404040" w:themeColor="text1" w:themeTint="BF"/>
    </w:rPr>
  </w:style>
  <w:style w:type="paragraph" w:styleId="ListParagraph">
    <w:name w:val="List Paragraph"/>
    <w:basedOn w:val="Normal"/>
    <w:uiPriority w:val="34"/>
    <w:qFormat/>
    <w:rsid w:val="00622C26"/>
    <w:pPr>
      <w:spacing w:after="160" w:line="278" w:lineRule="auto"/>
      <w:ind w:left="720"/>
      <w:contextualSpacing/>
    </w:pPr>
    <w:rPr>
      <w:rFonts w:asciiTheme="minorHAnsi" w:eastAsiaTheme="minorHAnsi" w:hAnsiTheme="minorHAnsi" w:cstheme="minorBidi"/>
      <w:kern w:val="2"/>
      <w:lang w:eastAsia="en-US"/>
    </w:rPr>
  </w:style>
  <w:style w:type="character" w:styleId="IntenseEmphasis">
    <w:name w:val="Intense Emphasis"/>
    <w:basedOn w:val="DefaultParagraphFont"/>
    <w:uiPriority w:val="21"/>
    <w:qFormat/>
    <w:rsid w:val="00622C26"/>
    <w:rPr>
      <w:i/>
      <w:iCs/>
      <w:color w:val="0F4761" w:themeColor="accent1" w:themeShade="BF"/>
    </w:rPr>
  </w:style>
  <w:style w:type="paragraph" w:styleId="IntenseQuote">
    <w:name w:val="Intense Quote"/>
    <w:basedOn w:val="Normal"/>
    <w:next w:val="Normal"/>
    <w:link w:val="IntenseQuoteChar"/>
    <w:uiPriority w:val="30"/>
    <w:qFormat/>
    <w:rsid w:val="00622C26"/>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eastAsia="en-US"/>
    </w:rPr>
  </w:style>
  <w:style w:type="character" w:customStyle="1" w:styleId="IntenseQuoteChar">
    <w:name w:val="Intense Quote Char"/>
    <w:basedOn w:val="DefaultParagraphFont"/>
    <w:link w:val="IntenseQuote"/>
    <w:uiPriority w:val="30"/>
    <w:rsid w:val="00622C26"/>
    <w:rPr>
      <w:i/>
      <w:iCs/>
      <w:color w:val="0F4761" w:themeColor="accent1" w:themeShade="BF"/>
    </w:rPr>
  </w:style>
  <w:style w:type="character" w:styleId="IntenseReference">
    <w:name w:val="Intense Reference"/>
    <w:basedOn w:val="DefaultParagraphFont"/>
    <w:uiPriority w:val="32"/>
    <w:qFormat/>
    <w:rsid w:val="00622C26"/>
    <w:rPr>
      <w:b/>
      <w:bCs/>
      <w:smallCaps/>
      <w:color w:val="0F4761" w:themeColor="accent1" w:themeShade="BF"/>
      <w:spacing w:val="5"/>
    </w:rPr>
  </w:style>
  <w:style w:type="table" w:styleId="TableGrid">
    <w:name w:val="Table Grid"/>
    <w:basedOn w:val="TableNormal"/>
    <w:uiPriority w:val="39"/>
    <w:rsid w:val="005175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396</Words>
  <Characters>2260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Nisha SANJEEV</dc:creator>
  <cp:keywords/>
  <dc:description/>
  <cp:lastModifiedBy>Nisha SANJEEV</cp:lastModifiedBy>
  <cp:revision>4</cp:revision>
  <dcterms:created xsi:type="dcterms:W3CDTF">2026-10-17T14:54:00Z</dcterms:created>
  <dcterms:modified xsi:type="dcterms:W3CDTF">2026-10-19T07:03:00Z</dcterms:modified>
</cp:coreProperties>
</file>