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7A39F" w14:textId="7A689A6A" w:rsidR="003735B5" w:rsidRPr="009D439A" w:rsidRDefault="009D439A" w:rsidP="009D439A">
      <w:pPr>
        <w:spacing w:line="240" w:lineRule="atLeast"/>
        <w:jc w:val="both"/>
        <w:rPr>
          <w:rFonts w:ascii="BNPP Sans Light" w:hAnsi="BNPP Sans Light"/>
          <w:lang w:val="en-GB"/>
        </w:rPr>
      </w:pPr>
      <w:r w:rsidRPr="009D439A">
        <w:rPr>
          <w:rFonts w:ascii="BNPP Sans Light" w:hAnsi="BNPP Sans Light"/>
          <w:lang w:val="en-GB"/>
        </w:rPr>
        <w:t>Definitions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4"/>
        <w:gridCol w:w="7022"/>
      </w:tblGrid>
      <w:tr w:rsidR="009D439A" w:rsidRPr="00E3606C" w14:paraId="72906DD8" w14:textId="77777777" w:rsidTr="00C02427">
        <w:tc>
          <w:tcPr>
            <w:tcW w:w="1106" w:type="pct"/>
            <w:tcMar>
              <w:left w:w="29" w:type="dxa"/>
              <w:right w:w="29" w:type="dxa"/>
            </w:tcMar>
          </w:tcPr>
          <w:p w14:paraId="138A87D5"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“AMC” or Asset Management Company” or “Investment Manager”</w:t>
            </w:r>
          </w:p>
        </w:tc>
        <w:tc>
          <w:tcPr>
            <w:tcW w:w="3894" w:type="pct"/>
            <w:tcMar>
              <w:left w:w="29" w:type="dxa"/>
              <w:right w:w="29" w:type="dxa"/>
            </w:tcMar>
          </w:tcPr>
          <w:p w14:paraId="4489B924"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 xml:space="preserve">Baroda BNP Paribas Asset Management India Private Limited (formerly known as BNP Paribas Asset Management India Private Limited), a company incorporated under the provisions of the Companies Act, 1956/2013 and approved by SEBI to act as the Asset Management Company for the </w:t>
            </w:r>
            <w:r>
              <w:rPr>
                <w:rFonts w:ascii="BNPP Sans Light" w:hAnsi="BNPP Sans Light"/>
                <w:lang w:val="en-GB"/>
              </w:rPr>
              <w:t>s</w:t>
            </w:r>
            <w:r w:rsidRPr="00E3606C">
              <w:rPr>
                <w:rFonts w:ascii="BNPP Sans Light" w:hAnsi="BNPP Sans Light"/>
                <w:lang w:val="en-GB"/>
              </w:rPr>
              <w:t>cheme</w:t>
            </w:r>
            <w:r>
              <w:rPr>
                <w:rFonts w:ascii="BNPP Sans Light" w:hAnsi="BNPP Sans Light"/>
                <w:lang w:val="en-GB"/>
              </w:rPr>
              <w:t>s</w:t>
            </w:r>
            <w:r w:rsidRPr="00E3606C">
              <w:rPr>
                <w:rFonts w:ascii="BNPP Sans Light" w:hAnsi="BNPP Sans Light"/>
                <w:lang w:val="en-GB"/>
              </w:rPr>
              <w:t xml:space="preserve"> of the Mutual Fund.</w:t>
            </w:r>
          </w:p>
        </w:tc>
      </w:tr>
      <w:tr w:rsidR="009D439A" w:rsidRPr="00E3606C" w14:paraId="711D96A2" w14:textId="77777777" w:rsidTr="00C02427">
        <w:tc>
          <w:tcPr>
            <w:tcW w:w="1106" w:type="pct"/>
            <w:tcMar>
              <w:left w:w="29" w:type="dxa"/>
              <w:right w:w="29" w:type="dxa"/>
            </w:tcMar>
          </w:tcPr>
          <w:p w14:paraId="29D2FA85"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“Application Form/Key Information Memorandum”</w:t>
            </w:r>
          </w:p>
        </w:tc>
        <w:tc>
          <w:tcPr>
            <w:tcW w:w="3894" w:type="pct"/>
            <w:tcMar>
              <w:left w:w="29" w:type="dxa"/>
              <w:right w:w="29" w:type="dxa"/>
            </w:tcMar>
          </w:tcPr>
          <w:p w14:paraId="1DE18E52"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A form meant to be used by an investor to open a folio and/or purchase Units in the Scheme. Any modifications to the Application Form will be made by way of an addendum, which will be attached thereto. On issuance of such addendum, the Application Form will be deemed to be updated by the addendum.</w:t>
            </w:r>
          </w:p>
        </w:tc>
      </w:tr>
      <w:tr w:rsidR="009D439A" w:rsidRPr="00E3606C" w14:paraId="25914002" w14:textId="77777777" w:rsidTr="00C02427">
        <w:tc>
          <w:tcPr>
            <w:tcW w:w="1106" w:type="pct"/>
            <w:tcMar>
              <w:left w:w="29" w:type="dxa"/>
              <w:right w:w="29" w:type="dxa"/>
            </w:tcMar>
          </w:tcPr>
          <w:p w14:paraId="1728C38F"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“Business Day”</w:t>
            </w:r>
            <w:proofErr w:type="gramStart"/>
            <w:r w:rsidRPr="00E3606C">
              <w:rPr>
                <w:rFonts w:ascii="BNPP Sans Light" w:hAnsi="BNPP Sans Light"/>
                <w:b/>
                <w:lang w:val="en-GB"/>
              </w:rPr>
              <w:t>/”Working</w:t>
            </w:r>
            <w:proofErr w:type="gramEnd"/>
            <w:r w:rsidRPr="00E3606C">
              <w:rPr>
                <w:rFonts w:ascii="BNPP Sans Light" w:hAnsi="BNPP Sans Light"/>
                <w:b/>
                <w:lang w:val="en-GB"/>
              </w:rPr>
              <w:t xml:space="preserve"> day”</w:t>
            </w:r>
          </w:p>
        </w:tc>
        <w:tc>
          <w:tcPr>
            <w:tcW w:w="3894" w:type="pct"/>
            <w:tcMar>
              <w:left w:w="29" w:type="dxa"/>
              <w:right w:w="29" w:type="dxa"/>
            </w:tcMar>
          </w:tcPr>
          <w:p w14:paraId="11E2FE6C" w14:textId="77777777" w:rsidR="009D439A" w:rsidRPr="00E3606C" w:rsidRDefault="009D439A" w:rsidP="00C02427">
            <w:pPr>
              <w:autoSpaceDE w:val="0"/>
              <w:autoSpaceDN w:val="0"/>
              <w:adjustRightInd w:val="0"/>
              <w:spacing w:line="240" w:lineRule="atLeast"/>
              <w:jc w:val="both"/>
              <w:rPr>
                <w:rFonts w:ascii="BNPP Sans Light" w:hAnsi="BNPP Sans Light"/>
                <w:lang w:val="en-GB"/>
              </w:rPr>
            </w:pPr>
            <w:r w:rsidRPr="00E3606C">
              <w:rPr>
                <w:rFonts w:ascii="BNPP Sans Light" w:hAnsi="BNPP Sans Light"/>
                <w:lang w:val="en-GB"/>
              </w:rPr>
              <w:t>A day other than:</w:t>
            </w:r>
          </w:p>
          <w:p w14:paraId="4C4734EC" w14:textId="77777777" w:rsidR="009D439A" w:rsidRPr="00E3606C" w:rsidRDefault="009D439A" w:rsidP="009D439A">
            <w:pPr>
              <w:numPr>
                <w:ilvl w:val="0"/>
                <w:numId w:val="1"/>
              </w:numPr>
              <w:autoSpaceDE w:val="0"/>
              <w:autoSpaceDN w:val="0"/>
              <w:adjustRightInd w:val="0"/>
              <w:spacing w:after="0" w:line="240" w:lineRule="atLeast"/>
              <w:jc w:val="both"/>
              <w:rPr>
                <w:rFonts w:ascii="BNPP Sans Light" w:hAnsi="BNPP Sans Light"/>
                <w:lang w:val="en-GB"/>
              </w:rPr>
            </w:pPr>
            <w:r w:rsidRPr="00E3606C">
              <w:rPr>
                <w:rFonts w:ascii="BNPP Sans Light" w:hAnsi="BNPP Sans Light"/>
                <w:lang w:val="en-GB"/>
              </w:rPr>
              <w:t xml:space="preserve">Saturday and </w:t>
            </w:r>
            <w:proofErr w:type="gramStart"/>
            <w:r w:rsidRPr="00E3606C">
              <w:rPr>
                <w:rFonts w:ascii="BNPP Sans Light" w:hAnsi="BNPP Sans Light"/>
                <w:lang w:val="en-GB"/>
              </w:rPr>
              <w:t>Sunday;</w:t>
            </w:r>
            <w:proofErr w:type="gramEnd"/>
            <w:r w:rsidRPr="00E3606C">
              <w:rPr>
                <w:rFonts w:ascii="BNPP Sans Light" w:hAnsi="BNPP Sans Light"/>
                <w:lang w:val="en-GB"/>
              </w:rPr>
              <w:t xml:space="preserve"> </w:t>
            </w:r>
          </w:p>
          <w:p w14:paraId="62C62AB5" w14:textId="77777777" w:rsidR="009D439A" w:rsidRPr="00E3606C" w:rsidRDefault="009D439A" w:rsidP="009D439A">
            <w:pPr>
              <w:numPr>
                <w:ilvl w:val="0"/>
                <w:numId w:val="1"/>
              </w:numPr>
              <w:autoSpaceDE w:val="0"/>
              <w:autoSpaceDN w:val="0"/>
              <w:adjustRightInd w:val="0"/>
              <w:spacing w:after="0" w:line="240" w:lineRule="atLeast"/>
              <w:jc w:val="both"/>
              <w:rPr>
                <w:rFonts w:ascii="BNPP Sans Light" w:hAnsi="BNPP Sans Light"/>
                <w:lang w:val="en-GB"/>
              </w:rPr>
            </w:pPr>
            <w:r w:rsidRPr="00E3606C">
              <w:rPr>
                <w:rFonts w:ascii="BNPP Sans Light" w:hAnsi="BNPP Sans Light"/>
                <w:lang w:val="en-GB"/>
              </w:rPr>
              <w:t xml:space="preserve">A day on which the banks (including Reserve Bank of India, Banks in Mumbai) are closed for business / </w:t>
            </w:r>
            <w:proofErr w:type="gramStart"/>
            <w:r w:rsidRPr="00E3606C">
              <w:rPr>
                <w:rFonts w:ascii="BNPP Sans Light" w:hAnsi="BNPP Sans Light"/>
                <w:lang w:val="en-GB"/>
              </w:rPr>
              <w:t>clearing;</w:t>
            </w:r>
            <w:proofErr w:type="gramEnd"/>
            <w:r w:rsidRPr="00E3606C">
              <w:rPr>
                <w:rFonts w:ascii="BNPP Sans Light" w:hAnsi="BNPP Sans Light"/>
                <w:lang w:val="en-GB"/>
              </w:rPr>
              <w:t xml:space="preserve"> </w:t>
            </w:r>
          </w:p>
          <w:p w14:paraId="67614DF3" w14:textId="77777777" w:rsidR="009D439A" w:rsidRPr="00E3606C" w:rsidRDefault="009D439A" w:rsidP="009D439A">
            <w:pPr>
              <w:numPr>
                <w:ilvl w:val="0"/>
                <w:numId w:val="1"/>
              </w:numPr>
              <w:autoSpaceDE w:val="0"/>
              <w:autoSpaceDN w:val="0"/>
              <w:adjustRightInd w:val="0"/>
              <w:spacing w:after="0" w:line="240" w:lineRule="atLeast"/>
              <w:jc w:val="both"/>
              <w:rPr>
                <w:rFonts w:ascii="BNPP Sans Light" w:hAnsi="BNPP Sans Light"/>
                <w:lang w:val="en-GB"/>
              </w:rPr>
            </w:pPr>
            <w:r w:rsidRPr="00E3606C">
              <w:rPr>
                <w:rFonts w:ascii="BNPP Sans Light" w:hAnsi="BNPP Sans Light"/>
                <w:lang w:val="en-GB"/>
              </w:rPr>
              <w:t xml:space="preserve">A day on which the Stock Exchange, Mumbai and / or the National Stock Exchange of India Limited are </w:t>
            </w:r>
            <w:proofErr w:type="gramStart"/>
            <w:r w:rsidRPr="00E3606C">
              <w:rPr>
                <w:rFonts w:ascii="BNPP Sans Light" w:hAnsi="BNPP Sans Light"/>
                <w:lang w:val="en-GB"/>
              </w:rPr>
              <w:t>closed;</w:t>
            </w:r>
            <w:proofErr w:type="gramEnd"/>
            <w:r w:rsidRPr="00E3606C">
              <w:rPr>
                <w:rFonts w:ascii="BNPP Sans Light" w:hAnsi="BNPP Sans Light"/>
                <w:lang w:val="en-GB"/>
              </w:rPr>
              <w:t xml:space="preserve"> </w:t>
            </w:r>
          </w:p>
          <w:p w14:paraId="1AF84835" w14:textId="77777777" w:rsidR="009D439A" w:rsidRPr="00E3606C" w:rsidRDefault="009D439A" w:rsidP="009D439A">
            <w:pPr>
              <w:numPr>
                <w:ilvl w:val="0"/>
                <w:numId w:val="1"/>
              </w:numPr>
              <w:autoSpaceDE w:val="0"/>
              <w:autoSpaceDN w:val="0"/>
              <w:adjustRightInd w:val="0"/>
              <w:spacing w:after="0" w:line="240" w:lineRule="atLeast"/>
              <w:jc w:val="both"/>
              <w:rPr>
                <w:rFonts w:ascii="BNPP Sans Light" w:hAnsi="BNPP Sans Light"/>
                <w:lang w:val="en-GB"/>
              </w:rPr>
            </w:pPr>
            <w:r w:rsidRPr="00E3606C">
              <w:rPr>
                <w:rFonts w:ascii="BNPP Sans Light" w:hAnsi="BNPP Sans Light"/>
                <w:lang w:val="en-GB"/>
              </w:rPr>
              <w:t>A day which is a public and / or bank holiday at the Investor Service Centre where the application is received</w:t>
            </w:r>
          </w:p>
          <w:p w14:paraId="41F6E66E" w14:textId="77777777" w:rsidR="009D439A" w:rsidRPr="00E3606C" w:rsidRDefault="009D439A" w:rsidP="009D439A">
            <w:pPr>
              <w:numPr>
                <w:ilvl w:val="0"/>
                <w:numId w:val="1"/>
              </w:numPr>
              <w:autoSpaceDE w:val="0"/>
              <w:autoSpaceDN w:val="0"/>
              <w:adjustRightInd w:val="0"/>
              <w:spacing w:after="0" w:line="240" w:lineRule="atLeast"/>
              <w:jc w:val="both"/>
              <w:rPr>
                <w:rFonts w:ascii="BNPP Sans Light" w:hAnsi="BNPP Sans Light"/>
                <w:lang w:val="en-GB"/>
              </w:rPr>
            </w:pPr>
            <w:r w:rsidRPr="00E3606C">
              <w:rPr>
                <w:rFonts w:ascii="BNPP Sans Light" w:hAnsi="BNPP Sans Light"/>
                <w:lang w:val="en-GB"/>
              </w:rPr>
              <w:t xml:space="preserve">A day on which sale and redemption/ repurchase of units is suspended by the Trustee / AMC. </w:t>
            </w:r>
          </w:p>
          <w:p w14:paraId="37F2E73F" w14:textId="77777777" w:rsidR="009D439A" w:rsidRPr="00E3606C" w:rsidRDefault="009D439A" w:rsidP="009D439A">
            <w:pPr>
              <w:numPr>
                <w:ilvl w:val="0"/>
                <w:numId w:val="1"/>
              </w:numPr>
              <w:autoSpaceDE w:val="0"/>
              <w:autoSpaceDN w:val="0"/>
              <w:adjustRightInd w:val="0"/>
              <w:spacing w:after="0" w:line="240" w:lineRule="atLeast"/>
              <w:jc w:val="both"/>
              <w:rPr>
                <w:rFonts w:ascii="BNPP Sans Light" w:hAnsi="BNPP Sans Light"/>
                <w:lang w:val="en-GB"/>
              </w:rPr>
            </w:pPr>
            <w:r w:rsidRPr="00E3606C">
              <w:rPr>
                <w:rFonts w:ascii="BNPP Sans Light" w:hAnsi="BNPP Sans Light"/>
                <w:lang w:val="en-GB"/>
              </w:rPr>
              <w:t>A book closure period as may be announced by the Trustee / AMC.</w:t>
            </w:r>
          </w:p>
          <w:p w14:paraId="7C9E3B31" w14:textId="77777777" w:rsidR="009D439A" w:rsidRPr="00E3606C" w:rsidRDefault="009D439A" w:rsidP="009D439A">
            <w:pPr>
              <w:numPr>
                <w:ilvl w:val="0"/>
                <w:numId w:val="1"/>
              </w:numPr>
              <w:autoSpaceDE w:val="0"/>
              <w:autoSpaceDN w:val="0"/>
              <w:adjustRightInd w:val="0"/>
              <w:spacing w:after="0" w:line="240" w:lineRule="atLeast"/>
              <w:jc w:val="both"/>
              <w:rPr>
                <w:rFonts w:ascii="BNPP Sans Light" w:hAnsi="BNPP Sans Light"/>
                <w:lang w:val="en-GB"/>
              </w:rPr>
            </w:pPr>
            <w:r w:rsidRPr="00E3606C">
              <w:rPr>
                <w:rFonts w:ascii="BNPP Sans Light" w:hAnsi="BNPP Sans Light"/>
                <w:lang w:val="en-GB"/>
              </w:rPr>
              <w:t>A day on which normal business cannot be transacted due to storms, floods, bandhs, strikes, unforeseen events / happenings or such other events as the Trustee / AMC may specify from time to time.</w:t>
            </w:r>
          </w:p>
          <w:p w14:paraId="5D51C8CD"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The Trustee / AMC reserves the right to declare any day as a business day/ working day or otherwise at any or all investor Service Centres.</w:t>
            </w:r>
          </w:p>
        </w:tc>
      </w:tr>
      <w:tr w:rsidR="009D439A" w:rsidRPr="00E3606C" w14:paraId="5229AE92" w14:textId="77777777" w:rsidTr="00C02427">
        <w:tc>
          <w:tcPr>
            <w:tcW w:w="1106" w:type="pct"/>
            <w:tcMar>
              <w:left w:w="29" w:type="dxa"/>
              <w:right w:w="29" w:type="dxa"/>
            </w:tcMar>
          </w:tcPr>
          <w:p w14:paraId="505156E8"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“Credit Rating Agency”</w:t>
            </w:r>
          </w:p>
        </w:tc>
        <w:tc>
          <w:tcPr>
            <w:tcW w:w="3894" w:type="pct"/>
            <w:tcMar>
              <w:left w:w="29" w:type="dxa"/>
              <w:right w:w="29" w:type="dxa"/>
            </w:tcMar>
          </w:tcPr>
          <w:p w14:paraId="5B7FD560" w14:textId="77777777" w:rsidR="009D439A" w:rsidRPr="00E3606C" w:rsidRDefault="009D439A" w:rsidP="00C02427">
            <w:pPr>
              <w:autoSpaceDE w:val="0"/>
              <w:autoSpaceDN w:val="0"/>
              <w:adjustRightInd w:val="0"/>
              <w:jc w:val="both"/>
              <w:rPr>
                <w:rFonts w:ascii="BNPP Sans Light" w:hAnsi="BNPP Sans Light"/>
              </w:rPr>
            </w:pPr>
            <w:r w:rsidRPr="00E3606C">
              <w:rPr>
                <w:rFonts w:ascii="BNPP Sans Light" w:hAnsi="BNPP Sans Light"/>
                <w:bCs/>
              </w:rPr>
              <w:t xml:space="preserve">A credit rating agency registered with </w:t>
            </w:r>
            <w:r w:rsidRPr="00E3606C">
              <w:rPr>
                <w:rFonts w:ascii="BNPP Sans Light" w:hAnsi="BNPP Sans Light"/>
                <w:lang w:val="en-GB"/>
              </w:rPr>
              <w:t>Securities and Exchange Board of India</w:t>
            </w:r>
            <w:r w:rsidRPr="00E3606C">
              <w:rPr>
                <w:rFonts w:ascii="BNPP Sans Light" w:hAnsi="BNPP Sans Light"/>
                <w:bCs/>
              </w:rPr>
              <w:t xml:space="preserve"> under SEBI (Credit Rating Agencies) Regulations, 1999</w:t>
            </w:r>
            <w:r w:rsidRPr="00E3606C">
              <w:rPr>
                <w:rFonts w:ascii="BNPP Sans Light" w:hAnsi="BNPP Sans Light"/>
              </w:rPr>
              <w:t xml:space="preserve"> as amended from time to time. </w:t>
            </w:r>
          </w:p>
        </w:tc>
      </w:tr>
      <w:tr w:rsidR="009D439A" w:rsidRPr="00E3606C" w14:paraId="6C1BC5CB" w14:textId="77777777" w:rsidTr="00C02427">
        <w:tc>
          <w:tcPr>
            <w:tcW w:w="1106" w:type="pct"/>
            <w:tcMar>
              <w:left w:w="29" w:type="dxa"/>
              <w:right w:w="29" w:type="dxa"/>
            </w:tcMar>
          </w:tcPr>
          <w:p w14:paraId="241B0A0E"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“Custodian”</w:t>
            </w:r>
          </w:p>
        </w:tc>
        <w:tc>
          <w:tcPr>
            <w:tcW w:w="3894" w:type="pct"/>
            <w:tcMar>
              <w:left w:w="29" w:type="dxa"/>
              <w:right w:w="29" w:type="dxa"/>
            </w:tcMar>
          </w:tcPr>
          <w:p w14:paraId="3C5D8DF5"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rPr>
              <w:t>SBI-SG Global Securities Private Limited, Mumbai Branch, registered under the SEBI (Custodian of Securities) Regulations, 1996</w:t>
            </w:r>
            <w:r w:rsidRPr="00E3606C">
              <w:rPr>
                <w:rFonts w:ascii="BNPP Sans Light" w:hAnsi="BNPP Sans Light"/>
                <w:lang w:val="en-GB"/>
              </w:rPr>
              <w:t>, currently acting as Custodian to the Scheme or any other custodian approved by the Trustees.</w:t>
            </w:r>
          </w:p>
        </w:tc>
      </w:tr>
      <w:tr w:rsidR="009D439A" w:rsidRPr="00E3606C" w14:paraId="735801DE" w14:textId="77777777" w:rsidTr="00C02427">
        <w:tc>
          <w:tcPr>
            <w:tcW w:w="1106" w:type="pct"/>
            <w:tcMar>
              <w:left w:w="29" w:type="dxa"/>
              <w:right w:w="29" w:type="dxa"/>
            </w:tcMar>
          </w:tcPr>
          <w:p w14:paraId="007FFC21"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“Consolidated Account Statement / CAS”</w:t>
            </w:r>
          </w:p>
        </w:tc>
        <w:tc>
          <w:tcPr>
            <w:tcW w:w="3894" w:type="pct"/>
            <w:tcMar>
              <w:left w:w="29" w:type="dxa"/>
              <w:right w:w="29" w:type="dxa"/>
            </w:tcMar>
          </w:tcPr>
          <w:p w14:paraId="48F8295F" w14:textId="77777777" w:rsidR="009D439A" w:rsidRPr="00E3606C" w:rsidRDefault="009D439A" w:rsidP="00C02427">
            <w:pPr>
              <w:spacing w:line="240" w:lineRule="atLeast"/>
              <w:jc w:val="both"/>
              <w:rPr>
                <w:rFonts w:ascii="BNPP Sans Light" w:hAnsi="BNPP Sans Light"/>
              </w:rPr>
            </w:pPr>
            <w:r w:rsidRPr="00E3606C">
              <w:rPr>
                <w:rFonts w:ascii="BNPP Sans Light" w:hAnsi="BNPP Sans Light"/>
              </w:rPr>
              <w:t>An account statement detailing all the transactions during a period and/or holdings at the end of the period across all schemes of all mutual funds, including transaction charges paid to distributors, as applicable. This statement will be issued to dormant investors on a half-yearly basis and to investors in whose folios any transaction has taken place during a month, on a monthly basis.</w:t>
            </w:r>
          </w:p>
        </w:tc>
      </w:tr>
      <w:tr w:rsidR="009D439A" w:rsidRPr="00E3606C" w14:paraId="3D7BBF03" w14:textId="77777777" w:rsidTr="00C02427">
        <w:tc>
          <w:tcPr>
            <w:tcW w:w="1106" w:type="pct"/>
            <w:tcMar>
              <w:left w:w="29" w:type="dxa"/>
              <w:right w:w="29" w:type="dxa"/>
            </w:tcMar>
          </w:tcPr>
          <w:p w14:paraId="124C9D95"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“Cut-off time”</w:t>
            </w:r>
          </w:p>
        </w:tc>
        <w:tc>
          <w:tcPr>
            <w:tcW w:w="3894" w:type="pct"/>
            <w:tcMar>
              <w:left w:w="29" w:type="dxa"/>
              <w:right w:w="29" w:type="dxa"/>
            </w:tcMar>
          </w:tcPr>
          <w:p w14:paraId="20462164" w14:textId="77777777" w:rsidR="009D439A" w:rsidRPr="00E3606C" w:rsidRDefault="009D439A" w:rsidP="00C02427">
            <w:pPr>
              <w:spacing w:line="240" w:lineRule="atLeast"/>
              <w:jc w:val="both"/>
              <w:rPr>
                <w:rFonts w:ascii="BNPP Sans Light" w:hAnsi="BNPP Sans Light"/>
              </w:rPr>
            </w:pPr>
            <w:r w:rsidRPr="00E3606C">
              <w:rPr>
                <w:rFonts w:ascii="BNPP Sans Light" w:hAnsi="BNPP Sans Light"/>
              </w:rPr>
              <w:t xml:space="preserve">A time prescribed in this Scheme Information Document up to which an investor can submit a purchase request (along with a local </w:t>
            </w:r>
            <w:proofErr w:type="gramStart"/>
            <w:r w:rsidRPr="00E3606C">
              <w:rPr>
                <w:rFonts w:ascii="BNPP Sans Light" w:hAnsi="BNPP Sans Light"/>
              </w:rPr>
              <w:t>cheque  at</w:t>
            </w:r>
            <w:proofErr w:type="gramEnd"/>
            <w:r w:rsidRPr="00E3606C">
              <w:rPr>
                <w:rFonts w:ascii="BNPP Sans Light" w:hAnsi="BNPP Sans Light"/>
              </w:rPr>
              <w:t xml:space="preserve"> the place where the application is received) / redemption request, to be entitled to the Applicable NAV for that Business Day.</w:t>
            </w:r>
          </w:p>
        </w:tc>
      </w:tr>
      <w:tr w:rsidR="009D439A" w:rsidRPr="00E3606C" w14:paraId="5FD2ACE5" w14:textId="77777777" w:rsidTr="00C02427">
        <w:tc>
          <w:tcPr>
            <w:tcW w:w="1106" w:type="pct"/>
            <w:tcMar>
              <w:left w:w="29" w:type="dxa"/>
              <w:right w:w="29" w:type="dxa"/>
            </w:tcMar>
          </w:tcPr>
          <w:p w14:paraId="4F5BAD15"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“Date of Application”</w:t>
            </w:r>
          </w:p>
        </w:tc>
        <w:tc>
          <w:tcPr>
            <w:tcW w:w="3894" w:type="pct"/>
            <w:tcMar>
              <w:left w:w="29" w:type="dxa"/>
              <w:right w:w="29" w:type="dxa"/>
            </w:tcMar>
          </w:tcPr>
          <w:p w14:paraId="0B0BD40D" w14:textId="77777777" w:rsidR="009D439A" w:rsidRPr="00E3606C" w:rsidRDefault="009D439A" w:rsidP="00C02427">
            <w:pPr>
              <w:autoSpaceDE w:val="0"/>
              <w:autoSpaceDN w:val="0"/>
              <w:adjustRightInd w:val="0"/>
              <w:jc w:val="both"/>
              <w:rPr>
                <w:rFonts w:ascii="BNPP Sans Light" w:hAnsi="BNPP Sans Light"/>
                <w:lang w:val="en-GB"/>
              </w:rPr>
            </w:pPr>
            <w:r w:rsidRPr="00E3606C">
              <w:rPr>
                <w:rFonts w:ascii="BNPP Sans Light" w:hAnsi="BNPP Sans Light"/>
                <w:lang w:val="en-GB"/>
              </w:rPr>
              <w:t xml:space="preserve">The date of receipt of a valid application complete in all respect for subscription of units of this scheme by Baroda BNP Paribas Mutual Fund </w:t>
            </w:r>
            <w:r w:rsidRPr="00E3606C">
              <w:rPr>
                <w:rFonts w:ascii="BNPP Sans Light" w:hAnsi="BNPP Sans Light"/>
                <w:lang w:val="en-GB"/>
              </w:rPr>
              <w:lastRenderedPageBreak/>
              <w:t xml:space="preserve">at its various offices/branches /the designated </w:t>
            </w:r>
            <w:proofErr w:type="spellStart"/>
            <w:r w:rsidRPr="00E3606C">
              <w:rPr>
                <w:rFonts w:ascii="BNPP Sans Light" w:hAnsi="BNPP Sans Light"/>
                <w:lang w:val="en-GB"/>
              </w:rPr>
              <w:t>centers</w:t>
            </w:r>
            <w:proofErr w:type="spellEnd"/>
            <w:r w:rsidRPr="00E3606C">
              <w:rPr>
                <w:rFonts w:ascii="BNPP Sans Light" w:hAnsi="BNPP Sans Light"/>
                <w:lang w:val="en-GB"/>
              </w:rPr>
              <w:t xml:space="preserve"> of the Registrar or SCSBs.</w:t>
            </w:r>
          </w:p>
        </w:tc>
      </w:tr>
      <w:tr w:rsidR="009D439A" w:rsidRPr="00E3606C" w14:paraId="6D06ADE5" w14:textId="77777777" w:rsidTr="00C02427">
        <w:tc>
          <w:tcPr>
            <w:tcW w:w="1106" w:type="pct"/>
            <w:tcMar>
              <w:left w:w="29" w:type="dxa"/>
              <w:right w:w="29" w:type="dxa"/>
            </w:tcMar>
          </w:tcPr>
          <w:p w14:paraId="303FB38B"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lastRenderedPageBreak/>
              <w:t>“Distributor”</w:t>
            </w:r>
          </w:p>
        </w:tc>
        <w:tc>
          <w:tcPr>
            <w:tcW w:w="3894" w:type="pct"/>
            <w:tcMar>
              <w:left w:w="29" w:type="dxa"/>
              <w:right w:w="29" w:type="dxa"/>
            </w:tcMar>
          </w:tcPr>
          <w:p w14:paraId="16D7B9FC" w14:textId="77777777" w:rsidR="009D439A" w:rsidRPr="00E3606C" w:rsidRDefault="009D439A" w:rsidP="00C02427">
            <w:pPr>
              <w:autoSpaceDE w:val="0"/>
              <w:autoSpaceDN w:val="0"/>
              <w:adjustRightInd w:val="0"/>
              <w:jc w:val="both"/>
              <w:rPr>
                <w:rFonts w:ascii="BNPP Sans Light" w:hAnsi="BNPP Sans Light"/>
                <w:lang w:val="en-GB"/>
              </w:rPr>
            </w:pPr>
            <w:r w:rsidRPr="00E3606C">
              <w:rPr>
                <w:rFonts w:ascii="BNPP Sans Light" w:hAnsi="BNPP Sans Light"/>
                <w:lang w:val="en-GB"/>
              </w:rPr>
              <w:t xml:space="preserve">Such persons/firms/ companies/ corporates who </w:t>
            </w:r>
            <w:proofErr w:type="spellStart"/>
            <w:r w:rsidRPr="00E3606C">
              <w:rPr>
                <w:rFonts w:ascii="BNPP Sans Light" w:hAnsi="BNPP Sans Light"/>
                <w:lang w:val="en-GB"/>
              </w:rPr>
              <w:t>fulfill</w:t>
            </w:r>
            <w:proofErr w:type="spellEnd"/>
            <w:r w:rsidRPr="00E3606C">
              <w:rPr>
                <w:rFonts w:ascii="BNPP Sans Light" w:hAnsi="BNPP Sans Light"/>
                <w:lang w:val="en-GB"/>
              </w:rPr>
              <w:t xml:space="preserve"> the criteria laid down by SEBI / AMFI from time to time and empanelled by the AMC to distribute / sell /market the schemes of the Fund.</w:t>
            </w:r>
          </w:p>
        </w:tc>
      </w:tr>
      <w:tr w:rsidR="009D439A" w:rsidRPr="00E3606C" w14:paraId="79B89BB5" w14:textId="77777777" w:rsidTr="00C02427">
        <w:tc>
          <w:tcPr>
            <w:tcW w:w="1106" w:type="pct"/>
            <w:tcMar>
              <w:left w:w="29" w:type="dxa"/>
              <w:right w:w="29" w:type="dxa"/>
            </w:tcMar>
          </w:tcPr>
          <w:p w14:paraId="344A109F"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“Dematerialization/</w:t>
            </w:r>
          </w:p>
          <w:p w14:paraId="186C62EE"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Demat”</w:t>
            </w:r>
          </w:p>
        </w:tc>
        <w:tc>
          <w:tcPr>
            <w:tcW w:w="3894" w:type="pct"/>
            <w:tcMar>
              <w:left w:w="29" w:type="dxa"/>
              <w:right w:w="29" w:type="dxa"/>
            </w:tcMar>
          </w:tcPr>
          <w:p w14:paraId="111BFCA9" w14:textId="77777777" w:rsidR="009D439A" w:rsidRPr="00E3606C" w:rsidRDefault="009D439A" w:rsidP="00C02427">
            <w:pPr>
              <w:autoSpaceDE w:val="0"/>
              <w:autoSpaceDN w:val="0"/>
              <w:adjustRightInd w:val="0"/>
              <w:jc w:val="both"/>
              <w:rPr>
                <w:rFonts w:ascii="BNPP Sans Light" w:hAnsi="BNPP Sans Light"/>
                <w:lang w:val="en-GB"/>
              </w:rPr>
            </w:pPr>
            <w:r w:rsidRPr="00E3606C">
              <w:rPr>
                <w:rFonts w:ascii="BNPP Sans Light" w:hAnsi="BNPP Sans Light"/>
                <w:lang w:val="en-GB"/>
              </w:rPr>
              <w:t>The process of converting physical units (account statements) into an electronic form. Units once converted into dematerialized form are held in a Demat account and are freely transferable.</w:t>
            </w:r>
          </w:p>
        </w:tc>
      </w:tr>
      <w:tr w:rsidR="009D439A" w:rsidRPr="00E3606C" w14:paraId="708049E1" w14:textId="77777777" w:rsidTr="00C02427">
        <w:tc>
          <w:tcPr>
            <w:tcW w:w="1106" w:type="pct"/>
            <w:tcMar>
              <w:left w:w="29" w:type="dxa"/>
              <w:right w:w="29" w:type="dxa"/>
            </w:tcMar>
          </w:tcPr>
          <w:p w14:paraId="3A3A776C"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“Depository”</w:t>
            </w:r>
          </w:p>
        </w:tc>
        <w:tc>
          <w:tcPr>
            <w:tcW w:w="3894" w:type="pct"/>
            <w:tcMar>
              <w:left w:w="29" w:type="dxa"/>
              <w:right w:w="29" w:type="dxa"/>
            </w:tcMar>
          </w:tcPr>
          <w:p w14:paraId="7004500F" w14:textId="77777777" w:rsidR="009D439A" w:rsidRPr="00E3606C" w:rsidRDefault="009D439A" w:rsidP="00C02427">
            <w:pPr>
              <w:autoSpaceDE w:val="0"/>
              <w:autoSpaceDN w:val="0"/>
              <w:adjustRightInd w:val="0"/>
              <w:jc w:val="both"/>
              <w:rPr>
                <w:rFonts w:ascii="BNPP Sans Light" w:hAnsi="BNPP Sans Light"/>
                <w:lang w:val="en-GB"/>
              </w:rPr>
            </w:pPr>
            <w:r w:rsidRPr="00E3606C">
              <w:rPr>
                <w:rFonts w:ascii="BNPP Sans Light" w:hAnsi="BNPP Sans Light"/>
                <w:lang w:val="en-GB"/>
              </w:rPr>
              <w:t>National Securities Depository Ltd. (NSDL) or such other depository as may be registered with SEBI as a Depository and as may be approved by the Trustee, being a body corporate as defined in the Depositories Act, 1996.</w:t>
            </w:r>
          </w:p>
        </w:tc>
      </w:tr>
      <w:tr w:rsidR="009D439A" w:rsidRPr="00E3606C" w14:paraId="2029D5E7" w14:textId="77777777" w:rsidTr="00C02427">
        <w:tc>
          <w:tcPr>
            <w:tcW w:w="1106" w:type="pct"/>
            <w:tcMar>
              <w:left w:w="29" w:type="dxa"/>
              <w:right w:w="29" w:type="dxa"/>
            </w:tcMar>
          </w:tcPr>
          <w:p w14:paraId="049F3574"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“Depository Participant / DP”</w:t>
            </w:r>
          </w:p>
        </w:tc>
        <w:tc>
          <w:tcPr>
            <w:tcW w:w="3894" w:type="pct"/>
            <w:tcMar>
              <w:left w:w="29" w:type="dxa"/>
              <w:right w:w="29" w:type="dxa"/>
            </w:tcMar>
          </w:tcPr>
          <w:p w14:paraId="6AD2483A" w14:textId="77777777" w:rsidR="009D439A" w:rsidRPr="00E3606C" w:rsidRDefault="009D439A" w:rsidP="00C02427">
            <w:pPr>
              <w:rPr>
                <w:rFonts w:ascii="BNPP Sans Light" w:hAnsi="BNPP Sans Light"/>
                <w:lang w:val="en-GB"/>
              </w:rPr>
            </w:pPr>
            <w:r w:rsidRPr="00E3606C">
              <w:rPr>
                <w:rFonts w:ascii="BNPP Sans Light" w:hAnsi="BNPP Sans Light"/>
                <w:lang w:val="en-GB"/>
              </w:rPr>
              <w:t>An agent of the Depository who acts like an intermediary between the Depository and the investors and is registered with SEBI to offer depository related services.</w:t>
            </w:r>
          </w:p>
        </w:tc>
      </w:tr>
      <w:tr w:rsidR="009D439A" w:rsidRPr="00E3606C" w14:paraId="4D91E4C6" w14:textId="77777777" w:rsidTr="00C02427">
        <w:tc>
          <w:tcPr>
            <w:tcW w:w="1106" w:type="pct"/>
            <w:tcMar>
              <w:left w:w="29" w:type="dxa"/>
              <w:right w:w="29" w:type="dxa"/>
            </w:tcMar>
          </w:tcPr>
          <w:p w14:paraId="7FFFCA11"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“Income Distribution Cum Capital Withdrawal Sweep Option (“IDCW Sweep Option”)”</w:t>
            </w:r>
          </w:p>
        </w:tc>
        <w:tc>
          <w:tcPr>
            <w:tcW w:w="3894" w:type="pct"/>
            <w:tcMar>
              <w:left w:w="29" w:type="dxa"/>
              <w:right w:w="29" w:type="dxa"/>
            </w:tcMar>
          </w:tcPr>
          <w:p w14:paraId="12F7F580" w14:textId="77777777" w:rsidR="009D439A" w:rsidRPr="00E3606C" w:rsidRDefault="009D439A" w:rsidP="00C02427">
            <w:pPr>
              <w:rPr>
                <w:rFonts w:ascii="BNPP Sans Light" w:hAnsi="BNPP Sans Light"/>
                <w:lang w:val="en-GB"/>
              </w:rPr>
            </w:pPr>
            <w:r w:rsidRPr="00E3606C">
              <w:rPr>
                <w:rFonts w:ascii="BNPP Sans Light" w:hAnsi="BNPP Sans Light"/>
                <w:lang w:val="en-GB"/>
              </w:rPr>
              <w:t>The facility given to unit holders to automatically invest the dividend/IDCW by eligible source scheme into eligible target scheme of the Mutual Fund.</w:t>
            </w:r>
          </w:p>
        </w:tc>
      </w:tr>
      <w:tr w:rsidR="009D439A" w:rsidRPr="00E3606C" w14:paraId="6E8F7F6C" w14:textId="77777777" w:rsidTr="00C02427">
        <w:tc>
          <w:tcPr>
            <w:tcW w:w="1106" w:type="pct"/>
            <w:tcMar>
              <w:left w:w="29" w:type="dxa"/>
              <w:right w:w="29" w:type="dxa"/>
            </w:tcMar>
          </w:tcPr>
          <w:p w14:paraId="71025F63"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“Equity related instruments”</w:t>
            </w:r>
          </w:p>
        </w:tc>
        <w:tc>
          <w:tcPr>
            <w:tcW w:w="3894" w:type="pct"/>
            <w:tcMar>
              <w:left w:w="29" w:type="dxa"/>
              <w:right w:w="29" w:type="dxa"/>
            </w:tcMar>
          </w:tcPr>
          <w:p w14:paraId="0312428B" w14:textId="7DE0A25B"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Equity related instruments include convertible debentures, convertible preference shares, warrants carrying the right to obtain equity shares, equity derivatives</w:t>
            </w:r>
            <w:r w:rsidR="00256D20">
              <w:rPr>
                <w:rFonts w:ascii="BNPP Sans Light" w:hAnsi="BNPP Sans Light"/>
                <w:lang w:val="en-GB"/>
              </w:rPr>
              <w:t>, units of Real Estate Investment Trust</w:t>
            </w:r>
            <w:r w:rsidRPr="00E3606C">
              <w:rPr>
                <w:rFonts w:ascii="BNPP Sans Light" w:hAnsi="BNPP Sans Light"/>
                <w:lang w:val="en-GB"/>
              </w:rPr>
              <w:t xml:space="preserve"> and such other instrument as may be specified by SEBI from time to time.</w:t>
            </w:r>
          </w:p>
        </w:tc>
      </w:tr>
      <w:tr w:rsidR="009D439A" w:rsidRPr="00E3606C" w14:paraId="7C12FEBC" w14:textId="77777777" w:rsidTr="00C02427">
        <w:tc>
          <w:tcPr>
            <w:tcW w:w="1106" w:type="pct"/>
            <w:tcMar>
              <w:left w:w="29" w:type="dxa"/>
              <w:right w:w="29" w:type="dxa"/>
            </w:tcMar>
          </w:tcPr>
          <w:p w14:paraId="12184388"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“Entry Load”</w:t>
            </w:r>
          </w:p>
        </w:tc>
        <w:tc>
          <w:tcPr>
            <w:tcW w:w="3894" w:type="pct"/>
            <w:tcMar>
              <w:left w:w="29" w:type="dxa"/>
              <w:right w:w="29" w:type="dxa"/>
            </w:tcMar>
          </w:tcPr>
          <w:p w14:paraId="47E3752C"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A one-time charge that the investor pays at the time of entry into the Scheme. Presently, as per SEBI directives, entry load is not applicable in the Scheme.</w:t>
            </w:r>
          </w:p>
        </w:tc>
      </w:tr>
      <w:tr w:rsidR="009D439A" w:rsidRPr="00E3606C" w14:paraId="249281E9" w14:textId="77777777" w:rsidTr="00C02427">
        <w:tc>
          <w:tcPr>
            <w:tcW w:w="1106" w:type="pct"/>
            <w:tcMar>
              <w:left w:w="29" w:type="dxa"/>
              <w:right w:w="29" w:type="dxa"/>
            </w:tcMar>
          </w:tcPr>
          <w:p w14:paraId="7FC365C2"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“Exit Load”</w:t>
            </w:r>
          </w:p>
        </w:tc>
        <w:tc>
          <w:tcPr>
            <w:tcW w:w="3894" w:type="pct"/>
            <w:tcMar>
              <w:left w:w="29" w:type="dxa"/>
              <w:right w:w="29" w:type="dxa"/>
            </w:tcMar>
          </w:tcPr>
          <w:p w14:paraId="0623C03C"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A charge paid by the investor at the time of exiting from the Scheme.</w:t>
            </w:r>
          </w:p>
        </w:tc>
      </w:tr>
      <w:tr w:rsidR="009D439A" w:rsidRPr="00E3606C" w14:paraId="7667AEFA" w14:textId="77777777" w:rsidTr="00C02427">
        <w:tc>
          <w:tcPr>
            <w:tcW w:w="1106" w:type="pct"/>
            <w:tcMar>
              <w:left w:w="29" w:type="dxa"/>
              <w:right w:w="29" w:type="dxa"/>
            </w:tcMar>
          </w:tcPr>
          <w:p w14:paraId="238E7F65" w14:textId="77777777" w:rsidR="009D439A" w:rsidRPr="00E3606C" w:rsidRDefault="009D439A" w:rsidP="00C02427">
            <w:pPr>
              <w:spacing w:line="240" w:lineRule="atLeast"/>
              <w:jc w:val="both"/>
              <w:rPr>
                <w:rFonts w:ascii="BNPP Sans Light" w:hAnsi="BNPP Sans Light"/>
                <w:b/>
                <w:bCs/>
                <w:lang w:val="en-GB"/>
              </w:rPr>
            </w:pPr>
            <w:r w:rsidRPr="00E3606C">
              <w:rPr>
                <w:rFonts w:ascii="BNPP Sans Light" w:hAnsi="BNPP Sans Light"/>
                <w:b/>
                <w:bCs/>
                <w:lang w:val="en-GB"/>
              </w:rPr>
              <w:t>“Floating Rate Debt Instruments”</w:t>
            </w:r>
          </w:p>
        </w:tc>
        <w:tc>
          <w:tcPr>
            <w:tcW w:w="3894" w:type="pct"/>
            <w:tcMar>
              <w:left w:w="29" w:type="dxa"/>
              <w:right w:w="29" w:type="dxa"/>
            </w:tcMar>
          </w:tcPr>
          <w:p w14:paraId="2CB9FE90"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Floating rate debt instruments are debt securities issued by Central and / or State Government, Corporate Bodies or PSUs with interest rates that are reset periodically. The periodicity of the interest reset could be daily, monthly, quarterly, half-yearly, annually or any other periodicity that may be mutually agreed with the issuer and the Mutual Fund. Floating rate debt instruments can be synthetically created by swapping Money Market Instruments &amp; Fixed Rate Debt Instruments for floating rate returns. The interest payable on the instruments could also be in the nature of a fixed spread over benchmark yields.</w:t>
            </w:r>
          </w:p>
        </w:tc>
      </w:tr>
      <w:tr w:rsidR="009D439A" w:rsidRPr="00E3606C" w14:paraId="17887A3F" w14:textId="77777777" w:rsidTr="00C02427">
        <w:tc>
          <w:tcPr>
            <w:tcW w:w="1106" w:type="pct"/>
            <w:tcMar>
              <w:left w:w="29" w:type="dxa"/>
              <w:right w:w="29" w:type="dxa"/>
            </w:tcMar>
          </w:tcPr>
          <w:p w14:paraId="02B0B6C4" w14:textId="77777777" w:rsidR="009D439A" w:rsidRPr="00E3606C" w:rsidRDefault="009D439A" w:rsidP="00C02427">
            <w:pPr>
              <w:spacing w:line="240" w:lineRule="atLeast"/>
              <w:jc w:val="both"/>
              <w:rPr>
                <w:rFonts w:ascii="BNPP Sans Light" w:hAnsi="BNPP Sans Light"/>
                <w:b/>
                <w:bCs/>
                <w:lang w:val="en-GB"/>
              </w:rPr>
            </w:pPr>
            <w:r w:rsidRPr="00E3606C">
              <w:rPr>
                <w:rFonts w:ascii="BNPP Sans Light" w:hAnsi="BNPP Sans Light"/>
                <w:b/>
                <w:bCs/>
                <w:lang w:val="en-GB"/>
              </w:rPr>
              <w:t>“Foreign Security”</w:t>
            </w:r>
          </w:p>
        </w:tc>
        <w:tc>
          <w:tcPr>
            <w:tcW w:w="3894" w:type="pct"/>
            <w:tcMar>
              <w:left w:w="29" w:type="dxa"/>
              <w:right w:w="29" w:type="dxa"/>
            </w:tcMar>
          </w:tcPr>
          <w:p w14:paraId="5060401D"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spacing w:val="-6"/>
                <w:lang w:val="en-GB"/>
              </w:rPr>
              <w:t xml:space="preserve">ADRs / GDRs issued by Indian companies, equity of overseas companies listed on recognised stock exchanges overseas, foreign debt securities in the countries with fully convertible currencies, short term as well as long term debt instruments with highest rating (foreign currency credit rating) by accredited / registered credit rating agencies, say A-1/ AAA by Standard &amp; Poor, P-1/AAA by Moody’s, F1/ AAA by Fitch IBCA, etc., government securities where the countries are AAA rated, units / securities issued by overseas mutual funds </w:t>
            </w:r>
            <w:r w:rsidRPr="00E3606C">
              <w:rPr>
                <w:rFonts w:ascii="BNPP Sans Light" w:hAnsi="BNPP Sans Light"/>
                <w:spacing w:val="-6"/>
                <w:lang w:val="en-GB"/>
              </w:rPr>
              <w:lastRenderedPageBreak/>
              <w:t>or unit trusts which invest in the aforesaid securities or are rated as mentioned above and are registered with overseas regulators or such other security / instrument as stipulated by SEBI / RBI / other Regulatory Authority from time to time</w:t>
            </w:r>
            <w:r w:rsidRPr="00E3606C">
              <w:rPr>
                <w:rFonts w:ascii="BNPP Sans Light" w:hAnsi="BNPP Sans Light"/>
                <w:lang w:val="en-GB"/>
              </w:rPr>
              <w:t xml:space="preserve">. </w:t>
            </w:r>
          </w:p>
        </w:tc>
      </w:tr>
      <w:tr w:rsidR="009D439A" w:rsidRPr="00E3606C" w14:paraId="43105933" w14:textId="77777777" w:rsidTr="00C02427">
        <w:tc>
          <w:tcPr>
            <w:tcW w:w="1106" w:type="pct"/>
            <w:tcMar>
              <w:left w:w="29" w:type="dxa"/>
              <w:right w:w="29" w:type="dxa"/>
            </w:tcMar>
          </w:tcPr>
          <w:p w14:paraId="69C687F8" w14:textId="77777777" w:rsidR="009D439A" w:rsidRPr="00E3606C" w:rsidRDefault="009D439A" w:rsidP="00C02427">
            <w:pPr>
              <w:spacing w:line="240" w:lineRule="atLeast"/>
              <w:jc w:val="both"/>
              <w:rPr>
                <w:rFonts w:ascii="BNPP Sans Light" w:hAnsi="BNPP Sans Light"/>
                <w:b/>
                <w:bCs/>
                <w:lang w:val="en-GB"/>
              </w:rPr>
            </w:pPr>
            <w:r w:rsidRPr="00E3606C">
              <w:rPr>
                <w:rFonts w:ascii="BNPP Sans Light" w:hAnsi="BNPP Sans Light"/>
                <w:b/>
                <w:bCs/>
                <w:lang w:val="en-GB"/>
              </w:rPr>
              <w:lastRenderedPageBreak/>
              <w:t>“Foreign Portfolio Investor” or “FPI”</w:t>
            </w:r>
          </w:p>
        </w:tc>
        <w:tc>
          <w:tcPr>
            <w:tcW w:w="3894" w:type="pct"/>
            <w:tcMar>
              <w:left w:w="29" w:type="dxa"/>
              <w:right w:w="29" w:type="dxa"/>
            </w:tcMar>
          </w:tcPr>
          <w:p w14:paraId="005B2112"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Foreign Portfolio Investor as defined under Regulation 2(1)(h) of Security Exchange Board of India (Foreign Portfolio Investors) Regulations 2014, as amended from time to time.</w:t>
            </w:r>
          </w:p>
        </w:tc>
      </w:tr>
      <w:tr w:rsidR="009D439A" w:rsidRPr="00E3606C" w14:paraId="1141274A" w14:textId="77777777" w:rsidTr="00C02427">
        <w:tc>
          <w:tcPr>
            <w:tcW w:w="1106" w:type="pct"/>
            <w:tcMar>
              <w:left w:w="29" w:type="dxa"/>
              <w:right w:w="29" w:type="dxa"/>
            </w:tcMar>
          </w:tcPr>
          <w:p w14:paraId="653AD311" w14:textId="77777777" w:rsidR="009D439A" w:rsidRPr="00E3606C" w:rsidRDefault="009D439A" w:rsidP="00C02427">
            <w:pPr>
              <w:spacing w:line="240" w:lineRule="atLeast"/>
              <w:jc w:val="both"/>
              <w:rPr>
                <w:rFonts w:ascii="BNPP Sans Light" w:hAnsi="BNPP Sans Light"/>
                <w:b/>
                <w:bCs/>
                <w:lang w:val="en-GB"/>
              </w:rPr>
            </w:pPr>
            <w:r w:rsidRPr="00E3606C">
              <w:rPr>
                <w:rFonts w:ascii="BNPP Sans Light" w:hAnsi="BNPP Sans Light"/>
                <w:b/>
                <w:bCs/>
                <w:lang w:val="en-GB"/>
              </w:rPr>
              <w:t>“Fund of Funds / FOF”</w:t>
            </w:r>
          </w:p>
        </w:tc>
        <w:tc>
          <w:tcPr>
            <w:tcW w:w="3894" w:type="pct"/>
            <w:tcMar>
              <w:left w:w="29" w:type="dxa"/>
              <w:right w:w="29" w:type="dxa"/>
            </w:tcMar>
          </w:tcPr>
          <w:p w14:paraId="1CC01DBA"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A mutual fund scheme that invests primarily in other schemes of the same mutual fund or other mutual funds</w:t>
            </w:r>
          </w:p>
        </w:tc>
      </w:tr>
      <w:tr w:rsidR="009D439A" w:rsidRPr="00E3606C" w14:paraId="26F72640" w14:textId="77777777" w:rsidTr="00C02427">
        <w:tc>
          <w:tcPr>
            <w:tcW w:w="1106" w:type="pct"/>
            <w:tcMar>
              <w:left w:w="29" w:type="dxa"/>
              <w:right w:w="29" w:type="dxa"/>
            </w:tcMar>
          </w:tcPr>
          <w:p w14:paraId="0B8CF6A3" w14:textId="77777777" w:rsidR="009D439A" w:rsidRPr="00E3606C" w:rsidRDefault="009D439A" w:rsidP="00C02427">
            <w:pPr>
              <w:spacing w:line="240" w:lineRule="atLeast"/>
              <w:jc w:val="both"/>
              <w:rPr>
                <w:rFonts w:ascii="BNPP Sans Light" w:hAnsi="BNPP Sans Light"/>
                <w:b/>
                <w:bCs/>
                <w:lang w:val="en-GB"/>
              </w:rPr>
            </w:pPr>
            <w:r w:rsidRPr="00E3606C">
              <w:rPr>
                <w:rFonts w:ascii="BNPP Sans Light" w:hAnsi="BNPP Sans Light"/>
                <w:b/>
                <w:bCs/>
                <w:lang w:val="en-GB"/>
              </w:rPr>
              <w:t>“Gilts” or “Government Securities”</w:t>
            </w:r>
          </w:p>
        </w:tc>
        <w:tc>
          <w:tcPr>
            <w:tcW w:w="3894" w:type="pct"/>
            <w:tcMar>
              <w:left w:w="29" w:type="dxa"/>
              <w:right w:w="29" w:type="dxa"/>
            </w:tcMar>
          </w:tcPr>
          <w:p w14:paraId="39DE79E5"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Securities created and issued by the Central Government and/or a State Government (including Treasury Bills) or Government Securities as defined in the Public Debt Act, 1944, as amended or re-enacted from time to time.</w:t>
            </w:r>
          </w:p>
        </w:tc>
      </w:tr>
      <w:tr w:rsidR="009D439A" w:rsidRPr="00E3606C" w14:paraId="025D1C97" w14:textId="77777777" w:rsidTr="00C02427">
        <w:tc>
          <w:tcPr>
            <w:tcW w:w="1106" w:type="pct"/>
            <w:tcMar>
              <w:left w:w="29" w:type="dxa"/>
              <w:right w:w="29" w:type="dxa"/>
            </w:tcMar>
          </w:tcPr>
          <w:p w14:paraId="728339D7"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“Investor Service Centres” or “ISCs”</w:t>
            </w:r>
          </w:p>
        </w:tc>
        <w:tc>
          <w:tcPr>
            <w:tcW w:w="3894" w:type="pct"/>
            <w:tcMar>
              <w:left w:w="29" w:type="dxa"/>
              <w:right w:w="29" w:type="dxa"/>
            </w:tcMar>
          </w:tcPr>
          <w:p w14:paraId="2F4EF015"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Designated branches or service centres or representative offices of Registrar and Transfer Agent or its associates or such other centres / offices/</w:t>
            </w:r>
            <w:r w:rsidRPr="00E3606C">
              <w:rPr>
                <w:rFonts w:ascii="BNPP Sans Light" w:hAnsi="BNPP Sans Light"/>
              </w:rPr>
              <w:t xml:space="preserve"> </w:t>
            </w:r>
            <w:r w:rsidRPr="00E3606C">
              <w:rPr>
                <w:rFonts w:ascii="BNPP Sans Light" w:hAnsi="BNPP Sans Light"/>
                <w:lang w:val="en-GB"/>
              </w:rPr>
              <w:t>Official points of acceptance of transactions as may be designated by the Trustee / AMC from time to time.</w:t>
            </w:r>
          </w:p>
        </w:tc>
      </w:tr>
      <w:tr w:rsidR="009D439A" w:rsidRPr="00E3606C" w14:paraId="2FDE0CDA" w14:textId="77777777" w:rsidTr="00C02427">
        <w:tc>
          <w:tcPr>
            <w:tcW w:w="1106" w:type="pct"/>
            <w:tcMar>
              <w:left w:w="29" w:type="dxa"/>
              <w:right w:w="29" w:type="dxa"/>
            </w:tcMar>
          </w:tcPr>
          <w:p w14:paraId="491E80DB"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“Investment Management Agreement" or “IMA”</w:t>
            </w:r>
          </w:p>
        </w:tc>
        <w:tc>
          <w:tcPr>
            <w:tcW w:w="3894" w:type="pct"/>
            <w:tcMar>
              <w:left w:w="29" w:type="dxa"/>
              <w:right w:w="29" w:type="dxa"/>
            </w:tcMar>
          </w:tcPr>
          <w:p w14:paraId="32422DA6" w14:textId="77777777" w:rsidR="009D439A" w:rsidRPr="00E3606C" w:rsidRDefault="009D439A" w:rsidP="00C02427">
            <w:pPr>
              <w:autoSpaceDE w:val="0"/>
              <w:autoSpaceDN w:val="0"/>
              <w:adjustRightInd w:val="0"/>
              <w:jc w:val="both"/>
              <w:rPr>
                <w:rFonts w:ascii="BNPP Sans Light" w:hAnsi="BNPP Sans Light"/>
              </w:rPr>
            </w:pPr>
            <w:r w:rsidRPr="00E3606C">
              <w:rPr>
                <w:rFonts w:ascii="BNPP Sans Light" w:hAnsi="BNPP Sans Light"/>
              </w:rPr>
              <w:t xml:space="preserve">The agreement dated March 14, </w:t>
            </w:r>
            <w:proofErr w:type="gramStart"/>
            <w:r w:rsidRPr="00E3606C">
              <w:rPr>
                <w:rFonts w:ascii="BNPP Sans Light" w:hAnsi="BNPP Sans Light"/>
              </w:rPr>
              <w:t>2022</w:t>
            </w:r>
            <w:proofErr w:type="gramEnd"/>
            <w:r w:rsidRPr="00E3606C">
              <w:rPr>
                <w:rFonts w:ascii="BNPP Sans Light" w:hAnsi="BNPP Sans Light"/>
              </w:rPr>
              <w:t xml:space="preserve"> </w:t>
            </w:r>
            <w:proofErr w:type="gramStart"/>
            <w:r w:rsidRPr="00E3606C">
              <w:rPr>
                <w:rFonts w:ascii="BNPP Sans Light" w:hAnsi="BNPP Sans Light"/>
              </w:rPr>
              <w:t>entered into</w:t>
            </w:r>
            <w:proofErr w:type="gramEnd"/>
            <w:r w:rsidRPr="00E3606C">
              <w:rPr>
                <w:rFonts w:ascii="BNPP Sans Light" w:hAnsi="BNPP Sans Light"/>
              </w:rPr>
              <w:t xml:space="preserve"> between Baroda BNP Paribas Trustee India Private </w:t>
            </w:r>
            <w:proofErr w:type="gramStart"/>
            <w:r w:rsidRPr="00E3606C">
              <w:rPr>
                <w:rFonts w:ascii="BNPP Sans Light" w:hAnsi="BNPP Sans Light"/>
              </w:rPr>
              <w:t>Limited  and</w:t>
            </w:r>
            <w:proofErr w:type="gramEnd"/>
            <w:r w:rsidRPr="00E3606C">
              <w:rPr>
                <w:rFonts w:ascii="BNPP Sans Light" w:hAnsi="BNPP Sans Light"/>
              </w:rPr>
              <w:t xml:space="preserve"> Baroda BNP Paribas Asset Management India Private Limited, as amended from time to time.</w:t>
            </w:r>
          </w:p>
        </w:tc>
      </w:tr>
      <w:tr w:rsidR="009D439A" w:rsidRPr="00E3606C" w14:paraId="32ED325E" w14:textId="77777777" w:rsidTr="00C02427">
        <w:tc>
          <w:tcPr>
            <w:tcW w:w="1106" w:type="pct"/>
            <w:tcMar>
              <w:left w:w="29" w:type="dxa"/>
              <w:right w:w="29" w:type="dxa"/>
            </w:tcMar>
          </w:tcPr>
          <w:p w14:paraId="749FCEF9" w14:textId="77777777" w:rsidR="009D439A" w:rsidRPr="00E3606C" w:rsidRDefault="009D439A" w:rsidP="00C02427">
            <w:pPr>
              <w:spacing w:line="240" w:lineRule="atLeast"/>
              <w:jc w:val="both"/>
              <w:rPr>
                <w:rFonts w:ascii="BNPP Sans Light" w:hAnsi="BNPP Sans Light"/>
              </w:rPr>
            </w:pPr>
            <w:r w:rsidRPr="00E3606C">
              <w:rPr>
                <w:rFonts w:ascii="BNPP Sans Light" w:hAnsi="BNPP Sans Light"/>
                <w:b/>
                <w:lang w:val="en-GB"/>
              </w:rPr>
              <w:t>“InvIT” or “Infrastructure Investment Trust”</w:t>
            </w:r>
          </w:p>
        </w:tc>
        <w:tc>
          <w:tcPr>
            <w:tcW w:w="3894" w:type="pct"/>
            <w:tcMar>
              <w:left w:w="29" w:type="dxa"/>
              <w:right w:w="29" w:type="dxa"/>
            </w:tcMar>
          </w:tcPr>
          <w:p w14:paraId="31D4271C" w14:textId="77777777" w:rsidR="009D439A" w:rsidRPr="00E3606C" w:rsidRDefault="009D439A" w:rsidP="00C02427">
            <w:pPr>
              <w:autoSpaceDE w:val="0"/>
              <w:autoSpaceDN w:val="0"/>
              <w:adjustRightInd w:val="0"/>
              <w:jc w:val="both"/>
              <w:rPr>
                <w:rFonts w:ascii="BNPP Sans Light" w:hAnsi="BNPP Sans Light"/>
              </w:rPr>
            </w:pPr>
            <w:r w:rsidRPr="00E3606C">
              <w:rPr>
                <w:rFonts w:ascii="BNPP Sans Light" w:hAnsi="BNPP Sans Light"/>
              </w:rPr>
              <w:t xml:space="preserve"> “InvIT” or “Infrastructure Investment Trust” shall have the meaning assigned in clause (za) of sub-regulation (1) of regulation 2 of the Securities and Exchange Board of India (Infrastructure Investment Trusts) Regulations, 2014. </w:t>
            </w:r>
          </w:p>
        </w:tc>
      </w:tr>
      <w:tr w:rsidR="009D439A" w:rsidRPr="00E3606C" w14:paraId="56C73A16" w14:textId="77777777" w:rsidTr="00C02427">
        <w:tc>
          <w:tcPr>
            <w:tcW w:w="1106" w:type="pct"/>
            <w:tcMar>
              <w:left w:w="29" w:type="dxa"/>
              <w:right w:w="29" w:type="dxa"/>
            </w:tcMar>
          </w:tcPr>
          <w:p w14:paraId="50B207C7"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“Market Capitalisation”</w:t>
            </w:r>
          </w:p>
        </w:tc>
        <w:tc>
          <w:tcPr>
            <w:tcW w:w="3894" w:type="pct"/>
            <w:tcMar>
              <w:left w:w="29" w:type="dxa"/>
              <w:right w:w="29" w:type="dxa"/>
            </w:tcMar>
          </w:tcPr>
          <w:p w14:paraId="58E15002" w14:textId="77777777" w:rsidR="009D439A" w:rsidRPr="00E3606C" w:rsidRDefault="009D439A" w:rsidP="00C02427">
            <w:pPr>
              <w:autoSpaceDE w:val="0"/>
              <w:autoSpaceDN w:val="0"/>
              <w:adjustRightInd w:val="0"/>
              <w:jc w:val="both"/>
              <w:rPr>
                <w:rFonts w:ascii="BNPP Sans Light" w:hAnsi="BNPP Sans Light"/>
              </w:rPr>
            </w:pPr>
            <w:r w:rsidRPr="00E3606C">
              <w:rPr>
                <w:rFonts w:ascii="BNPP Sans Light" w:hAnsi="BNPP Sans Light"/>
              </w:rPr>
              <w:t>Market value of a listed company, which is calculated by multiplying its current market price by number of its shares outstanding</w:t>
            </w:r>
          </w:p>
        </w:tc>
      </w:tr>
      <w:tr w:rsidR="009D439A" w:rsidRPr="00E3606C" w14:paraId="0B384DF7" w14:textId="77777777" w:rsidTr="00C02427">
        <w:tc>
          <w:tcPr>
            <w:tcW w:w="1106" w:type="pct"/>
            <w:tcMar>
              <w:left w:w="29" w:type="dxa"/>
              <w:right w:w="29" w:type="dxa"/>
            </w:tcMar>
          </w:tcPr>
          <w:p w14:paraId="340C4445"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“Main Portfolio”</w:t>
            </w:r>
          </w:p>
        </w:tc>
        <w:tc>
          <w:tcPr>
            <w:tcW w:w="3894" w:type="pct"/>
            <w:tcMar>
              <w:left w:w="29" w:type="dxa"/>
              <w:right w:w="29" w:type="dxa"/>
            </w:tcMar>
          </w:tcPr>
          <w:p w14:paraId="55A3E295" w14:textId="77777777" w:rsidR="009D439A" w:rsidRPr="00E3606C" w:rsidRDefault="009D439A" w:rsidP="00C02427">
            <w:pPr>
              <w:autoSpaceDE w:val="0"/>
              <w:autoSpaceDN w:val="0"/>
              <w:adjustRightInd w:val="0"/>
              <w:jc w:val="both"/>
              <w:rPr>
                <w:rFonts w:ascii="BNPP Sans Light" w:hAnsi="BNPP Sans Light"/>
              </w:rPr>
            </w:pPr>
            <w:r w:rsidRPr="00E3606C">
              <w:rPr>
                <w:rFonts w:ascii="BNPP Sans Light" w:hAnsi="BNPP Sans Light"/>
              </w:rPr>
              <w:t>Main portfolio shall mean the scheme portfolio excluding the segregated portfolio.</w:t>
            </w:r>
          </w:p>
        </w:tc>
      </w:tr>
      <w:tr w:rsidR="009D439A" w:rsidRPr="00E3606C" w14:paraId="7FC173A9" w14:textId="77777777" w:rsidTr="00C02427">
        <w:tc>
          <w:tcPr>
            <w:tcW w:w="1106" w:type="pct"/>
            <w:tcMar>
              <w:left w:w="29" w:type="dxa"/>
              <w:right w:w="29" w:type="dxa"/>
            </w:tcMar>
          </w:tcPr>
          <w:p w14:paraId="0A13BC6C"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“Mutual Fund” or “the Fund”</w:t>
            </w:r>
          </w:p>
        </w:tc>
        <w:tc>
          <w:tcPr>
            <w:tcW w:w="3894" w:type="pct"/>
            <w:tcMar>
              <w:left w:w="29" w:type="dxa"/>
              <w:right w:w="29" w:type="dxa"/>
            </w:tcMar>
          </w:tcPr>
          <w:p w14:paraId="32303DD9" w14:textId="77777777" w:rsidR="009D439A" w:rsidRPr="00E3606C" w:rsidRDefault="009D439A" w:rsidP="00C02427">
            <w:pPr>
              <w:autoSpaceDE w:val="0"/>
              <w:autoSpaceDN w:val="0"/>
              <w:adjustRightInd w:val="0"/>
              <w:jc w:val="both"/>
              <w:rPr>
                <w:rFonts w:ascii="BNPP Sans Light" w:hAnsi="BNPP Sans Light"/>
              </w:rPr>
            </w:pPr>
            <w:r w:rsidRPr="00E3606C">
              <w:rPr>
                <w:rFonts w:ascii="BNPP Sans Light" w:hAnsi="BNPP Sans Light"/>
                <w:lang w:val="en-GB"/>
              </w:rPr>
              <w:t>Baroda BNP Paribas Mutual Fund (formerly known as Baroda Mutual Fund), being a Trust registered under the Indian Trusts Act and registered with SEBI under the SEBI (MF) Regulations, vide registration number MF/ 018/94/02 dated November 13, 2018.</w:t>
            </w:r>
          </w:p>
        </w:tc>
      </w:tr>
      <w:tr w:rsidR="009D439A" w:rsidRPr="00E3606C" w14:paraId="79227BB0" w14:textId="77777777" w:rsidTr="00C02427">
        <w:tc>
          <w:tcPr>
            <w:tcW w:w="1106" w:type="pct"/>
            <w:tcMar>
              <w:left w:w="29" w:type="dxa"/>
              <w:right w:w="29" w:type="dxa"/>
            </w:tcMar>
          </w:tcPr>
          <w:p w14:paraId="3B7F25B0"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“NAV”</w:t>
            </w:r>
          </w:p>
        </w:tc>
        <w:tc>
          <w:tcPr>
            <w:tcW w:w="3894" w:type="pct"/>
            <w:tcMar>
              <w:left w:w="29" w:type="dxa"/>
              <w:right w:w="29" w:type="dxa"/>
            </w:tcMar>
          </w:tcPr>
          <w:p w14:paraId="17D59E31"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Net Asset Value per Unit of the scheme, calculated in the manner described in this SID or as may be prescribed by the SEBI Regulations from time to time.</w:t>
            </w:r>
          </w:p>
        </w:tc>
      </w:tr>
      <w:tr w:rsidR="009D439A" w:rsidRPr="00E3606C" w14:paraId="1850560B" w14:textId="77777777" w:rsidTr="00C02427">
        <w:tc>
          <w:tcPr>
            <w:tcW w:w="1106" w:type="pct"/>
            <w:tcMar>
              <w:left w:w="29" w:type="dxa"/>
              <w:right w:w="29" w:type="dxa"/>
            </w:tcMar>
          </w:tcPr>
          <w:p w14:paraId="3AF0107D"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“New Fund Offer/ NFO”</w:t>
            </w:r>
          </w:p>
        </w:tc>
        <w:tc>
          <w:tcPr>
            <w:tcW w:w="3894" w:type="pct"/>
            <w:tcMar>
              <w:left w:w="29" w:type="dxa"/>
              <w:right w:w="29" w:type="dxa"/>
            </w:tcMar>
          </w:tcPr>
          <w:p w14:paraId="26B56780"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The offer for Purchase of Units at the inception of the Scheme, available to investors during the NFO period.</w:t>
            </w:r>
          </w:p>
        </w:tc>
      </w:tr>
      <w:tr w:rsidR="009D439A" w:rsidRPr="00E3606C" w14:paraId="4501F505" w14:textId="77777777" w:rsidTr="00C02427">
        <w:tc>
          <w:tcPr>
            <w:tcW w:w="1106" w:type="pct"/>
            <w:tcMar>
              <w:left w:w="29" w:type="dxa"/>
              <w:right w:w="29" w:type="dxa"/>
            </w:tcMar>
          </w:tcPr>
          <w:p w14:paraId="5D01B4D8"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w:t>
            </w:r>
            <w:proofErr w:type="gramStart"/>
            <w:r w:rsidRPr="00E3606C">
              <w:rPr>
                <w:rFonts w:ascii="BNPP Sans Light" w:hAnsi="BNPP Sans Light"/>
                <w:b/>
                <w:lang w:val="en-GB"/>
              </w:rPr>
              <w:t>Non Resident</w:t>
            </w:r>
            <w:proofErr w:type="gramEnd"/>
            <w:r w:rsidRPr="00E3606C">
              <w:rPr>
                <w:rFonts w:ascii="BNPP Sans Light" w:hAnsi="BNPP Sans Light"/>
                <w:b/>
                <w:lang w:val="en-GB"/>
              </w:rPr>
              <w:t xml:space="preserve"> Indian / NRI”</w:t>
            </w:r>
          </w:p>
        </w:tc>
        <w:tc>
          <w:tcPr>
            <w:tcW w:w="3894" w:type="pct"/>
            <w:tcMar>
              <w:left w:w="29" w:type="dxa"/>
              <w:right w:w="29" w:type="dxa"/>
            </w:tcMar>
          </w:tcPr>
          <w:p w14:paraId="25839BEF"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A person resident outside India, who is a citizen of India or is a person of Indian origin, as per the meaning assigned to the term under the Foreign Exchange Management (Investment in firm or proprietary concern in India) Regulations, 2000.</w:t>
            </w:r>
          </w:p>
        </w:tc>
      </w:tr>
      <w:tr w:rsidR="009D439A" w:rsidRPr="00E3606C" w14:paraId="2CE67F6D" w14:textId="77777777" w:rsidTr="00C02427">
        <w:tc>
          <w:tcPr>
            <w:tcW w:w="1106" w:type="pct"/>
            <w:tcMar>
              <w:left w:w="29" w:type="dxa"/>
              <w:right w:w="29" w:type="dxa"/>
            </w:tcMar>
          </w:tcPr>
          <w:p w14:paraId="77218872"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“Ongoing Offer”</w:t>
            </w:r>
          </w:p>
        </w:tc>
        <w:tc>
          <w:tcPr>
            <w:tcW w:w="3894" w:type="pct"/>
            <w:tcMar>
              <w:left w:w="29" w:type="dxa"/>
              <w:right w:w="29" w:type="dxa"/>
            </w:tcMar>
          </w:tcPr>
          <w:p w14:paraId="5C7C7021" w14:textId="77777777" w:rsidR="009D439A" w:rsidRPr="00E3606C" w:rsidRDefault="009D439A" w:rsidP="00C02427">
            <w:pPr>
              <w:rPr>
                <w:rFonts w:ascii="BNPP Sans Light" w:hAnsi="BNPP Sans Light"/>
                <w:lang w:val="en-GB"/>
              </w:rPr>
            </w:pPr>
            <w:r w:rsidRPr="00E3606C">
              <w:rPr>
                <w:rFonts w:ascii="BNPP Sans Light" w:hAnsi="BNPP Sans Light"/>
                <w:lang w:val="en-GB"/>
              </w:rPr>
              <w:t>Offer of Units under the Scheme when it becomes open ended after the closure of the New Fund Offer period.</w:t>
            </w:r>
          </w:p>
        </w:tc>
      </w:tr>
      <w:tr w:rsidR="009D439A" w:rsidRPr="00E3606C" w14:paraId="65765079" w14:textId="77777777" w:rsidTr="00C02427">
        <w:tc>
          <w:tcPr>
            <w:tcW w:w="1106" w:type="pct"/>
            <w:tcMar>
              <w:left w:w="29" w:type="dxa"/>
              <w:right w:w="29" w:type="dxa"/>
            </w:tcMar>
          </w:tcPr>
          <w:p w14:paraId="21B33F7B"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“Ongoing Offering Period”</w:t>
            </w:r>
          </w:p>
        </w:tc>
        <w:tc>
          <w:tcPr>
            <w:tcW w:w="3894" w:type="pct"/>
            <w:tcMar>
              <w:left w:w="29" w:type="dxa"/>
              <w:right w:w="29" w:type="dxa"/>
            </w:tcMar>
          </w:tcPr>
          <w:p w14:paraId="74972513" w14:textId="77777777" w:rsidR="009D439A" w:rsidRPr="00E3606C" w:rsidRDefault="009D439A" w:rsidP="00C02427">
            <w:pPr>
              <w:rPr>
                <w:rFonts w:ascii="BNPP Sans Light" w:hAnsi="BNPP Sans Light"/>
                <w:lang w:val="en-GB"/>
              </w:rPr>
            </w:pPr>
            <w:r w:rsidRPr="00E3606C">
              <w:rPr>
                <w:rFonts w:ascii="BNPP Sans Light" w:hAnsi="BNPP Sans Light"/>
                <w:lang w:val="en-GB"/>
              </w:rPr>
              <w:t>The period during which the Ongoing Offer for subscription to the Units of the Scheme will be made.</w:t>
            </w:r>
          </w:p>
        </w:tc>
      </w:tr>
      <w:tr w:rsidR="009D439A" w:rsidRPr="00E3606C" w14:paraId="2BF9675D" w14:textId="77777777" w:rsidTr="00C02427">
        <w:tc>
          <w:tcPr>
            <w:tcW w:w="1106" w:type="pct"/>
            <w:tcMar>
              <w:left w:w="29" w:type="dxa"/>
              <w:right w:w="29" w:type="dxa"/>
            </w:tcMar>
          </w:tcPr>
          <w:p w14:paraId="06FA147E"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“Person of Indian Origin”</w:t>
            </w:r>
          </w:p>
        </w:tc>
        <w:tc>
          <w:tcPr>
            <w:tcW w:w="3894" w:type="pct"/>
            <w:tcMar>
              <w:left w:w="29" w:type="dxa"/>
              <w:right w:w="29" w:type="dxa"/>
            </w:tcMar>
          </w:tcPr>
          <w:p w14:paraId="42F0D3C8" w14:textId="77777777" w:rsidR="009D439A" w:rsidRPr="00E3606C" w:rsidRDefault="009D439A" w:rsidP="00C02427">
            <w:pPr>
              <w:rPr>
                <w:rFonts w:ascii="BNPP Sans Light" w:hAnsi="BNPP Sans Light"/>
                <w:lang w:val="en-GB"/>
              </w:rPr>
            </w:pPr>
            <w:r w:rsidRPr="00E3606C">
              <w:rPr>
                <w:rFonts w:ascii="BNPP Sans Light" w:hAnsi="BNPP Sans Light"/>
                <w:lang w:val="en-GB"/>
              </w:rPr>
              <w:t>A citizen of any country other than Bangladesh or Pakistan, if (a) he/she at any time held an Indian passport; or (b) he/she or either of his/her parents or any of his/her grandparents was a citizen of India by virtue of the Constitution of India or the Citizenship Act, 1955 (57 of 1955); or (c) the person is a spouse of an Indian citizen or a person referred to in sub-clause (a) or (b).</w:t>
            </w:r>
          </w:p>
        </w:tc>
      </w:tr>
      <w:tr w:rsidR="009D439A" w:rsidRPr="00E3606C" w14:paraId="12810204" w14:textId="77777777" w:rsidTr="00C02427">
        <w:tc>
          <w:tcPr>
            <w:tcW w:w="1106" w:type="pct"/>
            <w:tcMar>
              <w:left w:w="29" w:type="dxa"/>
              <w:right w:w="29" w:type="dxa"/>
            </w:tcMar>
          </w:tcPr>
          <w:p w14:paraId="19FF2E1C"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“Purchase / Subscription”</w:t>
            </w:r>
          </w:p>
        </w:tc>
        <w:tc>
          <w:tcPr>
            <w:tcW w:w="3894" w:type="pct"/>
            <w:tcMar>
              <w:left w:w="29" w:type="dxa"/>
              <w:right w:w="29" w:type="dxa"/>
            </w:tcMar>
          </w:tcPr>
          <w:p w14:paraId="6D989B0C" w14:textId="77777777" w:rsidR="009D439A" w:rsidRPr="00E3606C" w:rsidRDefault="009D439A" w:rsidP="00C02427">
            <w:pPr>
              <w:rPr>
                <w:rFonts w:ascii="BNPP Sans Light" w:hAnsi="BNPP Sans Light"/>
                <w:lang w:val="en-GB"/>
              </w:rPr>
            </w:pPr>
            <w:r w:rsidRPr="00E3606C">
              <w:rPr>
                <w:rFonts w:ascii="BNPP Sans Light" w:hAnsi="BNPP Sans Light"/>
                <w:lang w:val="en-GB"/>
              </w:rPr>
              <w:t>Subscription to / Purchase of Units in the Scheme by an investor.</w:t>
            </w:r>
          </w:p>
        </w:tc>
      </w:tr>
      <w:tr w:rsidR="009D439A" w:rsidRPr="00E3606C" w14:paraId="7FD14432" w14:textId="77777777" w:rsidTr="00C02427">
        <w:tc>
          <w:tcPr>
            <w:tcW w:w="1106" w:type="pct"/>
            <w:tcMar>
              <w:left w:w="29" w:type="dxa"/>
              <w:right w:w="29" w:type="dxa"/>
            </w:tcMar>
          </w:tcPr>
          <w:p w14:paraId="7A37013B"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“Purchase Price”</w:t>
            </w:r>
          </w:p>
        </w:tc>
        <w:tc>
          <w:tcPr>
            <w:tcW w:w="3894" w:type="pct"/>
            <w:tcMar>
              <w:left w:w="29" w:type="dxa"/>
              <w:right w:w="29" w:type="dxa"/>
            </w:tcMar>
          </w:tcPr>
          <w:p w14:paraId="2B3733F7" w14:textId="77777777" w:rsidR="009D439A" w:rsidRPr="00E3606C" w:rsidRDefault="009D439A" w:rsidP="00C02427">
            <w:pPr>
              <w:jc w:val="both"/>
              <w:rPr>
                <w:rFonts w:ascii="BNPP Sans Light" w:hAnsi="BNPP Sans Light"/>
                <w:lang w:val="en-GB"/>
              </w:rPr>
            </w:pPr>
            <w:r w:rsidRPr="00E3606C">
              <w:rPr>
                <w:rFonts w:ascii="BNPP Sans Light" w:hAnsi="BNPP Sans Light"/>
                <w:lang w:val="en-GB"/>
              </w:rPr>
              <w:t>The price, being face value / Applicable NAV, as the case may be, at which the Units can be purchased by the Unitholders and calculated in the manner provided in this Scheme Information Document.</w:t>
            </w:r>
          </w:p>
        </w:tc>
      </w:tr>
      <w:tr w:rsidR="009D439A" w:rsidRPr="00E3606C" w14:paraId="176AAA9A" w14:textId="77777777" w:rsidTr="00C02427">
        <w:tc>
          <w:tcPr>
            <w:tcW w:w="1106" w:type="pct"/>
            <w:tcMar>
              <w:left w:w="29" w:type="dxa"/>
              <w:right w:w="29" w:type="dxa"/>
            </w:tcMar>
          </w:tcPr>
          <w:p w14:paraId="1A323E95"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“RBI”</w:t>
            </w:r>
          </w:p>
        </w:tc>
        <w:tc>
          <w:tcPr>
            <w:tcW w:w="3894" w:type="pct"/>
            <w:tcMar>
              <w:left w:w="29" w:type="dxa"/>
              <w:right w:w="29" w:type="dxa"/>
            </w:tcMar>
          </w:tcPr>
          <w:p w14:paraId="14979CE5" w14:textId="77777777" w:rsidR="009D439A" w:rsidRPr="00E3606C" w:rsidRDefault="009D439A" w:rsidP="00C02427">
            <w:pPr>
              <w:jc w:val="both"/>
              <w:rPr>
                <w:rFonts w:ascii="BNPP Sans Light" w:hAnsi="BNPP Sans Light"/>
                <w:lang w:val="en-GB"/>
              </w:rPr>
            </w:pPr>
            <w:r w:rsidRPr="00E3606C">
              <w:rPr>
                <w:rFonts w:ascii="BNPP Sans Light" w:hAnsi="BNPP Sans Light"/>
                <w:lang w:val="en-GB"/>
              </w:rPr>
              <w:t>Reserve Bank of India, established under the Reserve Bank of India Act, 1934</w:t>
            </w:r>
          </w:p>
        </w:tc>
      </w:tr>
      <w:tr w:rsidR="009D439A" w:rsidRPr="00E3606C" w14:paraId="3B13E684" w14:textId="77777777" w:rsidTr="00C02427">
        <w:tc>
          <w:tcPr>
            <w:tcW w:w="1106" w:type="pct"/>
            <w:tcMar>
              <w:left w:w="29" w:type="dxa"/>
              <w:right w:w="29" w:type="dxa"/>
            </w:tcMar>
          </w:tcPr>
          <w:p w14:paraId="721F8C44"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“Register of Unitholders”</w:t>
            </w:r>
          </w:p>
        </w:tc>
        <w:tc>
          <w:tcPr>
            <w:tcW w:w="3894" w:type="pct"/>
            <w:tcMar>
              <w:left w:w="29" w:type="dxa"/>
              <w:right w:w="29" w:type="dxa"/>
            </w:tcMar>
          </w:tcPr>
          <w:p w14:paraId="3F5500FE"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spacing w:val="-2"/>
                <w:lang w:val="en-GB"/>
              </w:rPr>
              <w:t>Register of unitholders for the purposes of distribution of amount under IDCW option shall mean the Statement of Beneficiary Position as may be received from the Depositories on the record date and the records of unitholders maintained by the Registrar and Transfer Agent in case of units not held in electronic (demat) form.</w:t>
            </w:r>
          </w:p>
        </w:tc>
      </w:tr>
      <w:tr w:rsidR="009D439A" w:rsidRPr="00E3606C" w14:paraId="400F6C6F" w14:textId="77777777" w:rsidTr="00C02427">
        <w:tc>
          <w:tcPr>
            <w:tcW w:w="1106" w:type="pct"/>
            <w:tcMar>
              <w:left w:w="29" w:type="dxa"/>
              <w:right w:w="29" w:type="dxa"/>
            </w:tcMar>
          </w:tcPr>
          <w:p w14:paraId="057F326B"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"Registrar and Transfer Agent" or “RTA” or “</w:t>
            </w:r>
            <w:proofErr w:type="spellStart"/>
            <w:r w:rsidRPr="00E3606C">
              <w:rPr>
                <w:rFonts w:ascii="BNPP Sans Light" w:hAnsi="BNPP Sans Light"/>
                <w:b/>
                <w:lang w:val="en-GB"/>
              </w:rPr>
              <w:t>KFin</w:t>
            </w:r>
            <w:proofErr w:type="spellEnd"/>
            <w:r w:rsidRPr="00E3606C">
              <w:rPr>
                <w:rFonts w:ascii="BNPP Sans Light" w:hAnsi="BNPP Sans Light"/>
                <w:b/>
                <w:lang w:val="en-GB"/>
              </w:rPr>
              <w:t>”</w:t>
            </w:r>
          </w:p>
        </w:tc>
        <w:tc>
          <w:tcPr>
            <w:tcW w:w="3894" w:type="pct"/>
            <w:tcMar>
              <w:left w:w="29" w:type="dxa"/>
              <w:right w:w="29" w:type="dxa"/>
            </w:tcMar>
          </w:tcPr>
          <w:p w14:paraId="7BBDEBE3" w14:textId="77777777" w:rsidR="009D439A" w:rsidRPr="00E3606C" w:rsidRDefault="009D439A" w:rsidP="00C02427">
            <w:pPr>
              <w:spacing w:line="240" w:lineRule="atLeast"/>
              <w:jc w:val="both"/>
              <w:rPr>
                <w:rFonts w:ascii="BNPP Sans Light" w:hAnsi="BNPP Sans Light"/>
                <w:lang w:val="en-GB"/>
              </w:rPr>
            </w:pPr>
            <w:proofErr w:type="spellStart"/>
            <w:r w:rsidRPr="00E3606C">
              <w:rPr>
                <w:rFonts w:ascii="BNPP Sans Light" w:hAnsi="BNPP Sans Light"/>
                <w:lang w:val="en-GB"/>
              </w:rPr>
              <w:t>KFin</w:t>
            </w:r>
            <w:proofErr w:type="spellEnd"/>
            <w:r w:rsidRPr="00E3606C">
              <w:rPr>
                <w:rFonts w:ascii="BNPP Sans Light" w:hAnsi="BNPP Sans Light"/>
                <w:lang w:val="en-GB"/>
              </w:rPr>
              <w:t xml:space="preserve"> Technologies Limited, Hyderabad, registered under the Securities and Exchange Board of India (Registrars to an Issue and Share Transfer Agents) Regulations, 1993, currently acting as registrar and transfer agent to the scheme, or any other registrar and transfer agent appointed by the Mutual Fund acting through the AMC from time to time.</w:t>
            </w:r>
          </w:p>
        </w:tc>
      </w:tr>
      <w:tr w:rsidR="009D439A" w:rsidRPr="00E3606C" w14:paraId="48296DAA" w14:textId="77777777" w:rsidTr="00C02427">
        <w:tc>
          <w:tcPr>
            <w:tcW w:w="1106" w:type="pct"/>
            <w:tcMar>
              <w:left w:w="29" w:type="dxa"/>
              <w:right w:w="29" w:type="dxa"/>
            </w:tcMar>
          </w:tcPr>
          <w:p w14:paraId="2ABFB9AA"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“REIT” or “Real Estate Investment Trust”</w:t>
            </w:r>
          </w:p>
        </w:tc>
        <w:tc>
          <w:tcPr>
            <w:tcW w:w="3894" w:type="pct"/>
            <w:tcMar>
              <w:left w:w="29" w:type="dxa"/>
              <w:right w:w="29" w:type="dxa"/>
            </w:tcMar>
          </w:tcPr>
          <w:p w14:paraId="18427259"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“REIT” or “Real Estate Investment Trust” shall have the meaning assigned in clause (</w:t>
            </w:r>
            <w:proofErr w:type="spellStart"/>
            <w:r w:rsidRPr="00E3606C">
              <w:rPr>
                <w:rFonts w:ascii="BNPP Sans Light" w:hAnsi="BNPP Sans Light"/>
                <w:lang w:val="en-GB"/>
              </w:rPr>
              <w:t>zm</w:t>
            </w:r>
            <w:proofErr w:type="spellEnd"/>
            <w:r w:rsidRPr="00E3606C">
              <w:rPr>
                <w:rFonts w:ascii="BNPP Sans Light" w:hAnsi="BNPP Sans Light"/>
                <w:lang w:val="en-GB"/>
              </w:rPr>
              <w:t xml:space="preserve">) of sub-regulation 1 of regulation 2 of the Securities and Exchange Board of India (Real Estate Investment Trust) Regulations, 2014. </w:t>
            </w:r>
          </w:p>
        </w:tc>
      </w:tr>
      <w:tr w:rsidR="009D439A" w:rsidRPr="00E3606C" w14:paraId="3AA18618" w14:textId="77777777" w:rsidTr="00C02427">
        <w:tc>
          <w:tcPr>
            <w:tcW w:w="1106" w:type="pct"/>
            <w:tcMar>
              <w:left w:w="29" w:type="dxa"/>
              <w:right w:w="29" w:type="dxa"/>
            </w:tcMar>
          </w:tcPr>
          <w:p w14:paraId="7860E879"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“Reverse Repos”</w:t>
            </w:r>
          </w:p>
        </w:tc>
        <w:tc>
          <w:tcPr>
            <w:tcW w:w="3894" w:type="pct"/>
            <w:tcMar>
              <w:left w:w="29" w:type="dxa"/>
              <w:right w:w="29" w:type="dxa"/>
            </w:tcMar>
          </w:tcPr>
          <w:p w14:paraId="38C3625E"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Purchase of securities with a simultaneous agreement to repurchase/sell them at a later date.</w:t>
            </w:r>
          </w:p>
        </w:tc>
      </w:tr>
      <w:tr w:rsidR="009D439A" w:rsidRPr="00E3606C" w14:paraId="1B294B00" w14:textId="77777777" w:rsidTr="00C02427">
        <w:tc>
          <w:tcPr>
            <w:tcW w:w="1106" w:type="pct"/>
            <w:tcMar>
              <w:left w:w="29" w:type="dxa"/>
              <w:right w:w="29" w:type="dxa"/>
            </w:tcMar>
          </w:tcPr>
          <w:p w14:paraId="61A2074E"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“Redemption”</w:t>
            </w:r>
          </w:p>
        </w:tc>
        <w:tc>
          <w:tcPr>
            <w:tcW w:w="3894" w:type="pct"/>
            <w:tcMar>
              <w:left w:w="29" w:type="dxa"/>
              <w:right w:w="29" w:type="dxa"/>
            </w:tcMar>
          </w:tcPr>
          <w:p w14:paraId="1FFF2B35"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Repurchase of Units by the Scheme from a Unit Holder.</w:t>
            </w:r>
          </w:p>
        </w:tc>
      </w:tr>
      <w:tr w:rsidR="009D439A" w:rsidRPr="00E3606C" w14:paraId="71F109EB" w14:textId="77777777" w:rsidTr="00C02427">
        <w:tc>
          <w:tcPr>
            <w:tcW w:w="1106" w:type="pct"/>
            <w:tcMar>
              <w:left w:w="29" w:type="dxa"/>
              <w:right w:w="29" w:type="dxa"/>
            </w:tcMar>
          </w:tcPr>
          <w:p w14:paraId="1A2F0210"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“Redemption Price”</w:t>
            </w:r>
          </w:p>
        </w:tc>
        <w:tc>
          <w:tcPr>
            <w:tcW w:w="3894" w:type="pct"/>
            <w:tcMar>
              <w:left w:w="29" w:type="dxa"/>
              <w:right w:w="29" w:type="dxa"/>
            </w:tcMar>
          </w:tcPr>
          <w:p w14:paraId="186EE918"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The price, being Applicable NAV less Exit Load as applicable, at which the Units can be redeemed by the Unitholders and calculated in the manner provided in this Scheme Information Document.</w:t>
            </w:r>
          </w:p>
        </w:tc>
      </w:tr>
      <w:tr w:rsidR="009D439A" w:rsidRPr="00E3606C" w14:paraId="30E6647E" w14:textId="77777777" w:rsidTr="00C02427">
        <w:tc>
          <w:tcPr>
            <w:tcW w:w="1106" w:type="pct"/>
            <w:tcMar>
              <w:left w:w="29" w:type="dxa"/>
              <w:right w:w="29" w:type="dxa"/>
            </w:tcMar>
          </w:tcPr>
          <w:p w14:paraId="47167229"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“Reverse Repo”</w:t>
            </w:r>
          </w:p>
        </w:tc>
        <w:tc>
          <w:tcPr>
            <w:tcW w:w="3894" w:type="pct"/>
            <w:tcMar>
              <w:left w:w="29" w:type="dxa"/>
              <w:right w:w="29" w:type="dxa"/>
            </w:tcMar>
          </w:tcPr>
          <w:p w14:paraId="4326570D"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Reverse Repos are always backed by Government securities.</w:t>
            </w:r>
          </w:p>
        </w:tc>
      </w:tr>
      <w:tr w:rsidR="009D439A" w:rsidRPr="00E3606C" w14:paraId="600CE919" w14:textId="77777777" w:rsidTr="00C02427">
        <w:tc>
          <w:tcPr>
            <w:tcW w:w="1106" w:type="pct"/>
            <w:tcMar>
              <w:left w:w="29" w:type="dxa"/>
              <w:right w:w="29" w:type="dxa"/>
            </w:tcMar>
          </w:tcPr>
          <w:p w14:paraId="11A9F64A"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“Sale/Subscription”</w:t>
            </w:r>
          </w:p>
        </w:tc>
        <w:tc>
          <w:tcPr>
            <w:tcW w:w="3894" w:type="pct"/>
            <w:tcMar>
              <w:left w:w="29" w:type="dxa"/>
              <w:right w:w="29" w:type="dxa"/>
            </w:tcMar>
          </w:tcPr>
          <w:p w14:paraId="405A376B"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Sale of units to the unit holder upon subscription by the investor / applicant under the scheme.</w:t>
            </w:r>
          </w:p>
        </w:tc>
      </w:tr>
      <w:tr w:rsidR="009D439A" w:rsidRPr="00E3606C" w14:paraId="7DF55EF9" w14:textId="77777777" w:rsidTr="00C02427">
        <w:tc>
          <w:tcPr>
            <w:tcW w:w="1106" w:type="pct"/>
            <w:tcMar>
              <w:left w:w="29" w:type="dxa"/>
              <w:right w:w="29" w:type="dxa"/>
            </w:tcMar>
          </w:tcPr>
          <w:p w14:paraId="6A574D21"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“Scheme”</w:t>
            </w:r>
          </w:p>
        </w:tc>
        <w:tc>
          <w:tcPr>
            <w:tcW w:w="3894" w:type="pct"/>
            <w:tcMar>
              <w:left w:w="29" w:type="dxa"/>
              <w:right w:w="29" w:type="dxa"/>
            </w:tcMar>
          </w:tcPr>
          <w:p w14:paraId="3236DE27"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Baroda BNP Paribas Retirement Fund (BBNPPRF)</w:t>
            </w:r>
          </w:p>
        </w:tc>
      </w:tr>
      <w:tr w:rsidR="009D439A" w:rsidRPr="00E3606C" w14:paraId="4D1B865E" w14:textId="77777777" w:rsidTr="00C02427">
        <w:tc>
          <w:tcPr>
            <w:tcW w:w="1106" w:type="pct"/>
            <w:tcMar>
              <w:left w:w="29" w:type="dxa"/>
              <w:right w:w="29" w:type="dxa"/>
            </w:tcMar>
          </w:tcPr>
          <w:p w14:paraId="49496A5F"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“Scheme Information Document” or “SID”</w:t>
            </w:r>
          </w:p>
        </w:tc>
        <w:tc>
          <w:tcPr>
            <w:tcW w:w="3894" w:type="pct"/>
            <w:tcMar>
              <w:left w:w="29" w:type="dxa"/>
              <w:right w:w="29" w:type="dxa"/>
            </w:tcMar>
          </w:tcPr>
          <w:p w14:paraId="2082985A"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This document issued by the Mutual Fund offering the units of the scheme for subscription. SID has to be read in conjunction with SAI.</w:t>
            </w:r>
          </w:p>
        </w:tc>
      </w:tr>
      <w:tr w:rsidR="009D439A" w:rsidRPr="00E3606C" w14:paraId="5E7EE62C" w14:textId="77777777" w:rsidTr="00C02427">
        <w:tc>
          <w:tcPr>
            <w:tcW w:w="1106" w:type="pct"/>
            <w:tcMar>
              <w:left w:w="29" w:type="dxa"/>
              <w:right w:w="29" w:type="dxa"/>
            </w:tcMar>
          </w:tcPr>
          <w:p w14:paraId="33FE9D8A"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"SEBI"</w:t>
            </w:r>
          </w:p>
        </w:tc>
        <w:tc>
          <w:tcPr>
            <w:tcW w:w="3894" w:type="pct"/>
            <w:tcMar>
              <w:left w:w="29" w:type="dxa"/>
              <w:right w:w="29" w:type="dxa"/>
            </w:tcMar>
          </w:tcPr>
          <w:p w14:paraId="49EE855C"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Securities and Exchange Board of India, established under the Securities and Exchange Board of India Act, 1992.</w:t>
            </w:r>
          </w:p>
        </w:tc>
      </w:tr>
      <w:tr w:rsidR="009D439A" w:rsidRPr="00E3606C" w14:paraId="68AA72C9" w14:textId="77777777" w:rsidTr="00C02427">
        <w:tc>
          <w:tcPr>
            <w:tcW w:w="1106" w:type="pct"/>
            <w:tcMar>
              <w:left w:w="29" w:type="dxa"/>
              <w:right w:w="29" w:type="dxa"/>
            </w:tcMar>
          </w:tcPr>
          <w:p w14:paraId="45511853"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"SEBI Regulations" or "Regulations"</w:t>
            </w:r>
          </w:p>
        </w:tc>
        <w:tc>
          <w:tcPr>
            <w:tcW w:w="3894" w:type="pct"/>
            <w:tcMar>
              <w:left w:w="29" w:type="dxa"/>
              <w:right w:w="29" w:type="dxa"/>
            </w:tcMar>
          </w:tcPr>
          <w:p w14:paraId="531F0909"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Securities and Exchange Board of India (Mutual Funds) Regulations, 1996, read with various amendments, circulars and guidelines issued from time to time.</w:t>
            </w:r>
          </w:p>
        </w:tc>
      </w:tr>
      <w:tr w:rsidR="009D439A" w:rsidRPr="00E3606C" w14:paraId="744135E6" w14:textId="77777777" w:rsidTr="00C02427">
        <w:tc>
          <w:tcPr>
            <w:tcW w:w="1106" w:type="pct"/>
            <w:tcMar>
              <w:left w:w="29" w:type="dxa"/>
              <w:right w:w="29" w:type="dxa"/>
            </w:tcMar>
          </w:tcPr>
          <w:p w14:paraId="6E028506"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Segregated Portfolio</w:t>
            </w:r>
          </w:p>
        </w:tc>
        <w:tc>
          <w:tcPr>
            <w:tcW w:w="3894" w:type="pct"/>
            <w:tcMar>
              <w:left w:w="29" w:type="dxa"/>
              <w:right w:w="29" w:type="dxa"/>
            </w:tcMar>
          </w:tcPr>
          <w:p w14:paraId="71B6289E"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 xml:space="preserve">Segregated portfolio shall </w:t>
            </w:r>
            <w:proofErr w:type="gramStart"/>
            <w:r w:rsidRPr="00E3606C">
              <w:rPr>
                <w:rFonts w:ascii="BNPP Sans Light" w:hAnsi="BNPP Sans Light"/>
                <w:lang w:val="en-GB"/>
              </w:rPr>
              <w:t>means</w:t>
            </w:r>
            <w:proofErr w:type="gramEnd"/>
            <w:r w:rsidRPr="00E3606C">
              <w:rPr>
                <w:rFonts w:ascii="BNPP Sans Light" w:hAnsi="BNPP Sans Light"/>
                <w:lang w:val="en-GB"/>
              </w:rPr>
              <w:t xml:space="preserve"> a portfolio, comprising of debt or money market instrument affected by a credit event, that has been segregated in a mutual fund scheme.</w:t>
            </w:r>
          </w:p>
        </w:tc>
      </w:tr>
      <w:tr w:rsidR="009D439A" w:rsidRPr="00E3606C" w14:paraId="6EBC222E" w14:textId="77777777" w:rsidTr="00C02427">
        <w:tc>
          <w:tcPr>
            <w:tcW w:w="1106" w:type="pct"/>
            <w:tcMar>
              <w:left w:w="29" w:type="dxa"/>
              <w:right w:w="29" w:type="dxa"/>
            </w:tcMar>
          </w:tcPr>
          <w:p w14:paraId="04BDA62E"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"Sponsors" or "Settlors"</w:t>
            </w:r>
          </w:p>
        </w:tc>
        <w:tc>
          <w:tcPr>
            <w:tcW w:w="3894" w:type="pct"/>
            <w:tcMar>
              <w:left w:w="29" w:type="dxa"/>
              <w:right w:w="29" w:type="dxa"/>
            </w:tcMar>
          </w:tcPr>
          <w:p w14:paraId="7A9CDC4B"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 xml:space="preserve">Bank of Baroda and BNP Paribas Asset Management Asia Limited </w:t>
            </w:r>
            <w:r w:rsidRPr="00E3606C">
              <w:rPr>
                <w:rFonts w:ascii="BNPP Sans Light" w:hAnsi="BNPP Sans Light"/>
                <w:i/>
                <w:iCs/>
                <w:lang w:val="en-GB"/>
              </w:rPr>
              <w:t xml:space="preserve">(erstwhile BNP Paribas Investment Partners Asia Limited) </w:t>
            </w:r>
          </w:p>
        </w:tc>
      </w:tr>
      <w:tr w:rsidR="009D439A" w:rsidRPr="00E3606C" w14:paraId="2AAA32D5" w14:textId="77777777" w:rsidTr="00C02427">
        <w:tc>
          <w:tcPr>
            <w:tcW w:w="1106" w:type="pct"/>
            <w:tcMar>
              <w:left w:w="29" w:type="dxa"/>
              <w:right w:w="29" w:type="dxa"/>
            </w:tcMar>
          </w:tcPr>
          <w:p w14:paraId="42781F25"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“Self-Certified Syndicate Bank/SCSB”</w:t>
            </w:r>
          </w:p>
        </w:tc>
        <w:tc>
          <w:tcPr>
            <w:tcW w:w="3894" w:type="pct"/>
            <w:tcMar>
              <w:left w:w="29" w:type="dxa"/>
              <w:right w:w="29" w:type="dxa"/>
            </w:tcMar>
          </w:tcPr>
          <w:p w14:paraId="154F9F97"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A bank registered with SEBI to offer the facility of applying through the ASBA process. ASBAs can be accepted only by SCSBs, whose names appear in the list of SCSBs as displayed by SEBI on its website at www.sebi.gov.in.</w:t>
            </w:r>
          </w:p>
        </w:tc>
      </w:tr>
      <w:tr w:rsidR="009D439A" w:rsidRPr="00E3606C" w14:paraId="7F3012AC" w14:textId="77777777" w:rsidTr="00C02427">
        <w:tc>
          <w:tcPr>
            <w:tcW w:w="1106" w:type="pct"/>
            <w:tcMar>
              <w:left w:w="29" w:type="dxa"/>
              <w:right w:w="29" w:type="dxa"/>
            </w:tcMar>
          </w:tcPr>
          <w:p w14:paraId="5E6CDA16"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“Statement of Additional Information / SAI”</w:t>
            </w:r>
          </w:p>
        </w:tc>
        <w:tc>
          <w:tcPr>
            <w:tcW w:w="3894" w:type="pct"/>
            <w:tcMar>
              <w:left w:w="29" w:type="dxa"/>
              <w:right w:w="29" w:type="dxa"/>
            </w:tcMar>
          </w:tcPr>
          <w:p w14:paraId="10F76D7D"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A document containing details of the Mutual Fund, its constitution, and certain tax, legal and general information, and legally forming a part of the SID.</w:t>
            </w:r>
          </w:p>
        </w:tc>
      </w:tr>
      <w:tr w:rsidR="009D439A" w:rsidRPr="00E3606C" w14:paraId="169FECD0" w14:textId="77777777" w:rsidTr="00C02427">
        <w:tc>
          <w:tcPr>
            <w:tcW w:w="1106" w:type="pct"/>
            <w:tcMar>
              <w:left w:w="29" w:type="dxa"/>
              <w:right w:w="29" w:type="dxa"/>
            </w:tcMar>
          </w:tcPr>
          <w:p w14:paraId="72494E83"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“Stock Exchange/</w:t>
            </w:r>
          </w:p>
          <w:p w14:paraId="0155E584"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Exchanges”</w:t>
            </w:r>
          </w:p>
        </w:tc>
        <w:tc>
          <w:tcPr>
            <w:tcW w:w="3894" w:type="pct"/>
            <w:tcMar>
              <w:left w:w="29" w:type="dxa"/>
              <w:right w:w="29" w:type="dxa"/>
            </w:tcMar>
          </w:tcPr>
          <w:p w14:paraId="5752980C"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BSE or NSE or any other recognized stock exchange in India, as may be approved by the Trustee.</w:t>
            </w:r>
          </w:p>
        </w:tc>
      </w:tr>
      <w:tr w:rsidR="009D439A" w:rsidRPr="00E3606C" w14:paraId="183F3751" w14:textId="77777777" w:rsidTr="00C02427">
        <w:tc>
          <w:tcPr>
            <w:tcW w:w="1106" w:type="pct"/>
            <w:tcMar>
              <w:left w:w="29" w:type="dxa"/>
              <w:right w:w="29" w:type="dxa"/>
            </w:tcMar>
          </w:tcPr>
          <w:p w14:paraId="104CAE73"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 xml:space="preserve">Systematic Investment </w:t>
            </w:r>
          </w:p>
          <w:p w14:paraId="68CD1ECF"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Plan / SIP</w:t>
            </w:r>
          </w:p>
        </w:tc>
        <w:tc>
          <w:tcPr>
            <w:tcW w:w="3894" w:type="pct"/>
            <w:tcMar>
              <w:left w:w="29" w:type="dxa"/>
              <w:right w:w="29" w:type="dxa"/>
            </w:tcMar>
          </w:tcPr>
          <w:p w14:paraId="2023CB69"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 xml:space="preserve">A </w:t>
            </w:r>
            <w:proofErr w:type="gramStart"/>
            <w:r w:rsidRPr="00E3606C">
              <w:rPr>
                <w:rFonts w:ascii="BNPP Sans Light" w:hAnsi="BNPP Sans Light"/>
                <w:lang w:val="en-GB"/>
              </w:rPr>
              <w:t>plan enabling investors</w:t>
            </w:r>
            <w:proofErr w:type="gramEnd"/>
            <w:r w:rsidRPr="00E3606C">
              <w:rPr>
                <w:rFonts w:ascii="BNPP Sans Light" w:hAnsi="BNPP Sans Light"/>
                <w:lang w:val="en-GB"/>
              </w:rPr>
              <w:t xml:space="preserve"> to save and invest in the Scheme on a periodic basis by submitting post-dated cheques / payment instructions.</w:t>
            </w:r>
          </w:p>
        </w:tc>
      </w:tr>
      <w:tr w:rsidR="009D439A" w:rsidRPr="00E3606C" w14:paraId="0B76B43B" w14:textId="77777777" w:rsidTr="00C02427">
        <w:tc>
          <w:tcPr>
            <w:tcW w:w="1106" w:type="pct"/>
            <w:tcMar>
              <w:left w:w="29" w:type="dxa"/>
              <w:right w:w="29" w:type="dxa"/>
            </w:tcMar>
          </w:tcPr>
          <w:p w14:paraId="4C39CC6E"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Systematic Transfer Plan / STP</w:t>
            </w:r>
          </w:p>
        </w:tc>
        <w:tc>
          <w:tcPr>
            <w:tcW w:w="3894" w:type="pct"/>
            <w:tcMar>
              <w:left w:w="29" w:type="dxa"/>
              <w:right w:w="29" w:type="dxa"/>
            </w:tcMar>
          </w:tcPr>
          <w:p w14:paraId="60648607"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A plan enabling Unit Holders to transfer sums on a periodic basis from the Scheme to other schemes of / launched by the Fund, or to the Scheme from other schemes of / launched by the Fund from time to time, by giving a single instruction</w:t>
            </w:r>
          </w:p>
        </w:tc>
      </w:tr>
      <w:tr w:rsidR="009D439A" w:rsidRPr="00E3606C" w14:paraId="11E1D7B1" w14:textId="77777777" w:rsidTr="00C02427">
        <w:tc>
          <w:tcPr>
            <w:tcW w:w="1106" w:type="pct"/>
            <w:tcMar>
              <w:left w:w="29" w:type="dxa"/>
              <w:right w:w="29" w:type="dxa"/>
            </w:tcMar>
          </w:tcPr>
          <w:p w14:paraId="63ECEE4F"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Systematic Withdrawal Plan / SWP</w:t>
            </w:r>
          </w:p>
        </w:tc>
        <w:tc>
          <w:tcPr>
            <w:tcW w:w="3894" w:type="pct"/>
            <w:tcMar>
              <w:left w:w="29" w:type="dxa"/>
              <w:right w:w="29" w:type="dxa"/>
            </w:tcMar>
          </w:tcPr>
          <w:p w14:paraId="137F335B"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A plan enabling Unit Holders to withdraw amounts from the Schemes on a periodic basis by giving a single instruction.</w:t>
            </w:r>
          </w:p>
        </w:tc>
      </w:tr>
      <w:tr w:rsidR="009D439A" w:rsidRPr="00E3606C" w14:paraId="27542776" w14:textId="77777777" w:rsidTr="00C02427">
        <w:tc>
          <w:tcPr>
            <w:tcW w:w="1106" w:type="pct"/>
            <w:tcMar>
              <w:left w:w="29" w:type="dxa"/>
              <w:right w:w="29" w:type="dxa"/>
            </w:tcMar>
          </w:tcPr>
          <w:p w14:paraId="201C6C88" w14:textId="77777777" w:rsidR="009D439A" w:rsidRPr="00E3606C" w:rsidRDefault="009D439A" w:rsidP="00C02427">
            <w:pPr>
              <w:spacing w:line="240" w:lineRule="atLeast"/>
              <w:jc w:val="both"/>
              <w:rPr>
                <w:rFonts w:ascii="BNPP Sans Light" w:hAnsi="BNPP Sans Light"/>
                <w:b/>
                <w:bCs/>
                <w:lang w:val="en-GB"/>
              </w:rPr>
            </w:pPr>
            <w:r w:rsidRPr="00E3606C">
              <w:rPr>
                <w:rFonts w:ascii="BNPP Sans Light" w:hAnsi="BNPP Sans Light"/>
                <w:b/>
                <w:bCs/>
              </w:rPr>
              <w:t>“Tri-party Repo” or “TREPs”</w:t>
            </w:r>
          </w:p>
        </w:tc>
        <w:tc>
          <w:tcPr>
            <w:tcW w:w="3894" w:type="pct"/>
            <w:tcMar>
              <w:left w:w="29" w:type="dxa"/>
              <w:right w:w="29" w:type="dxa"/>
            </w:tcMar>
          </w:tcPr>
          <w:p w14:paraId="7D7C5EF7" w14:textId="77777777" w:rsidR="009D439A" w:rsidRPr="00E3606C" w:rsidRDefault="009D439A" w:rsidP="00C02427">
            <w:pPr>
              <w:autoSpaceDE w:val="0"/>
              <w:autoSpaceDN w:val="0"/>
              <w:adjustRightInd w:val="0"/>
              <w:jc w:val="both"/>
              <w:rPr>
                <w:rFonts w:ascii="BNPP Sans Light" w:hAnsi="BNPP Sans Light"/>
              </w:rPr>
            </w:pPr>
            <w:r w:rsidRPr="00E3606C">
              <w:rPr>
                <w:rFonts w:ascii="BNPP Sans Light" w:hAnsi="BNPP Sans Light"/>
              </w:rPr>
              <w:t>means a repo contract where a third entity (apart from the borrower and lender), called a Tri-Party Agent, acts as an intermediary between the two parties to the repo to facilitate services like collateral selection, payment and settlement, custody and management during the life of the transaction.</w:t>
            </w:r>
          </w:p>
        </w:tc>
      </w:tr>
      <w:tr w:rsidR="009D439A" w:rsidRPr="00E3606C" w14:paraId="0F48425D" w14:textId="77777777" w:rsidTr="00C02427">
        <w:tc>
          <w:tcPr>
            <w:tcW w:w="1106" w:type="pct"/>
            <w:tcMar>
              <w:left w:w="29" w:type="dxa"/>
              <w:right w:w="29" w:type="dxa"/>
            </w:tcMar>
          </w:tcPr>
          <w:p w14:paraId="627AABE9"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"Trust Deed"</w:t>
            </w:r>
          </w:p>
        </w:tc>
        <w:tc>
          <w:tcPr>
            <w:tcW w:w="3894" w:type="pct"/>
            <w:tcMar>
              <w:left w:w="29" w:type="dxa"/>
              <w:right w:w="29" w:type="dxa"/>
            </w:tcMar>
          </w:tcPr>
          <w:p w14:paraId="172205E1" w14:textId="77777777" w:rsidR="009D439A" w:rsidRPr="00E3606C" w:rsidRDefault="009D439A" w:rsidP="00C02427">
            <w:pPr>
              <w:autoSpaceDE w:val="0"/>
              <w:autoSpaceDN w:val="0"/>
              <w:adjustRightInd w:val="0"/>
              <w:jc w:val="both"/>
              <w:rPr>
                <w:rFonts w:ascii="BNPP Sans Light" w:hAnsi="BNPP Sans Light"/>
                <w:lang w:val="en-GB"/>
              </w:rPr>
            </w:pPr>
            <w:r w:rsidRPr="00E3606C">
              <w:rPr>
                <w:rFonts w:ascii="BNPP Sans Light" w:hAnsi="BNPP Sans Light"/>
                <w:lang w:val="en-GB"/>
              </w:rPr>
              <w:t xml:space="preserve">The Deed of Trust dated 30th October 1992 </w:t>
            </w:r>
            <w:proofErr w:type="gramStart"/>
            <w:r w:rsidRPr="00E3606C">
              <w:rPr>
                <w:rFonts w:ascii="BNPP Sans Light" w:hAnsi="BNPP Sans Light"/>
                <w:lang w:val="en-GB"/>
              </w:rPr>
              <w:t>entered into</w:t>
            </w:r>
            <w:proofErr w:type="gramEnd"/>
            <w:r w:rsidRPr="00E3606C">
              <w:rPr>
                <w:rFonts w:ascii="BNPP Sans Light" w:hAnsi="BNPP Sans Light"/>
                <w:lang w:val="en-GB"/>
              </w:rPr>
              <w:t xml:space="preserve"> between the Settlor, viz., Bank of Baroda, and the erstwhile Board of Trustees, establishing the Mutual Fund, read together with the Supplemental Deed dated August 12, 2008, July 30, </w:t>
            </w:r>
            <w:proofErr w:type="gramStart"/>
            <w:r w:rsidRPr="00E3606C">
              <w:rPr>
                <w:rFonts w:ascii="BNPP Sans Light" w:hAnsi="BNPP Sans Light"/>
                <w:lang w:val="en-GB"/>
              </w:rPr>
              <w:t>2012</w:t>
            </w:r>
            <w:proofErr w:type="gramEnd"/>
            <w:r w:rsidRPr="00E3606C">
              <w:rPr>
                <w:rFonts w:ascii="BNPP Sans Light" w:hAnsi="BNPP Sans Light"/>
                <w:lang w:val="en-GB"/>
              </w:rPr>
              <w:t xml:space="preserve"> and Deed of Variation dated September 27, </w:t>
            </w:r>
            <w:proofErr w:type="gramStart"/>
            <w:r w:rsidRPr="00E3606C">
              <w:rPr>
                <w:rFonts w:ascii="BNPP Sans Light" w:hAnsi="BNPP Sans Light"/>
                <w:lang w:val="en-GB"/>
              </w:rPr>
              <w:t>2018</w:t>
            </w:r>
            <w:proofErr w:type="gramEnd"/>
            <w:r w:rsidRPr="00E3606C">
              <w:rPr>
                <w:rFonts w:ascii="BNPP Sans Light" w:hAnsi="BNPP Sans Light"/>
                <w:lang w:val="en-GB"/>
              </w:rPr>
              <w:t xml:space="preserve"> and March 14, 2022.</w:t>
            </w:r>
          </w:p>
        </w:tc>
      </w:tr>
      <w:tr w:rsidR="009D439A" w:rsidRPr="00E3606C" w14:paraId="5568114D" w14:textId="77777777" w:rsidTr="00C02427">
        <w:tc>
          <w:tcPr>
            <w:tcW w:w="1106" w:type="pct"/>
            <w:tcMar>
              <w:left w:w="29" w:type="dxa"/>
              <w:right w:w="29" w:type="dxa"/>
            </w:tcMar>
          </w:tcPr>
          <w:p w14:paraId="6226910C"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“Time”</w:t>
            </w:r>
          </w:p>
        </w:tc>
        <w:tc>
          <w:tcPr>
            <w:tcW w:w="3894" w:type="pct"/>
            <w:tcMar>
              <w:left w:w="29" w:type="dxa"/>
              <w:right w:w="29" w:type="dxa"/>
            </w:tcMar>
          </w:tcPr>
          <w:p w14:paraId="7C975A17"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Indian Standard Time unless specifically mentioned otherwise</w:t>
            </w:r>
          </w:p>
        </w:tc>
      </w:tr>
      <w:tr w:rsidR="009D439A" w:rsidRPr="00E3606C" w14:paraId="4092FA10" w14:textId="77777777" w:rsidTr="00C02427">
        <w:tc>
          <w:tcPr>
            <w:tcW w:w="1106" w:type="pct"/>
            <w:tcMar>
              <w:left w:w="29" w:type="dxa"/>
              <w:right w:w="29" w:type="dxa"/>
            </w:tcMar>
          </w:tcPr>
          <w:p w14:paraId="146C9503"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“Trustee”</w:t>
            </w:r>
          </w:p>
        </w:tc>
        <w:tc>
          <w:tcPr>
            <w:tcW w:w="3894" w:type="pct"/>
            <w:tcMar>
              <w:left w:w="29" w:type="dxa"/>
              <w:right w:w="29" w:type="dxa"/>
            </w:tcMar>
          </w:tcPr>
          <w:p w14:paraId="249D45FE"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Baroda BNP Paribas Trustee India Private Limited (formerly known as Baroda Trustee India Private Limited) incorporated under the provisions of the Companies Act, 1956/2013 and approved by SEBI to act as the Trustee to the scheme of the Mutual Fund.</w:t>
            </w:r>
          </w:p>
        </w:tc>
      </w:tr>
      <w:tr w:rsidR="009D439A" w:rsidRPr="00E3606C" w14:paraId="13F56855" w14:textId="77777777" w:rsidTr="00C02427">
        <w:tc>
          <w:tcPr>
            <w:tcW w:w="1106" w:type="pct"/>
            <w:tcMar>
              <w:left w:w="29" w:type="dxa"/>
              <w:right w:w="29" w:type="dxa"/>
            </w:tcMar>
          </w:tcPr>
          <w:p w14:paraId="61901B04"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Transaction Slip</w:t>
            </w:r>
          </w:p>
        </w:tc>
        <w:tc>
          <w:tcPr>
            <w:tcW w:w="3894" w:type="pct"/>
            <w:tcMar>
              <w:left w:w="29" w:type="dxa"/>
              <w:right w:w="29" w:type="dxa"/>
            </w:tcMar>
          </w:tcPr>
          <w:p w14:paraId="7069552C"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A form meant to be used by Unit Holders seeking additional Purchase or Redemption of Units in the Scheme, change in bank account details, switch-in or switch-out and such other facilities as may be offered by the AMC from time to time, and mentioned in the Transaction Slip.</w:t>
            </w:r>
          </w:p>
        </w:tc>
      </w:tr>
      <w:tr w:rsidR="009D439A" w:rsidRPr="00E3606C" w14:paraId="19B06FB3" w14:textId="77777777" w:rsidTr="00C02427">
        <w:tc>
          <w:tcPr>
            <w:tcW w:w="1106" w:type="pct"/>
            <w:tcMar>
              <w:left w:w="29" w:type="dxa"/>
              <w:right w:w="29" w:type="dxa"/>
            </w:tcMar>
          </w:tcPr>
          <w:p w14:paraId="48B0355B"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Total Portfolio</w:t>
            </w:r>
          </w:p>
        </w:tc>
        <w:tc>
          <w:tcPr>
            <w:tcW w:w="3894" w:type="pct"/>
            <w:tcMar>
              <w:left w:w="29" w:type="dxa"/>
              <w:right w:w="29" w:type="dxa"/>
            </w:tcMar>
          </w:tcPr>
          <w:p w14:paraId="2AFBD1E8"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Total portfolio shall mean the scheme portfolio including the securities affected by the credit event.</w:t>
            </w:r>
          </w:p>
        </w:tc>
      </w:tr>
      <w:tr w:rsidR="009D439A" w:rsidRPr="00E3606C" w14:paraId="2AC280FF" w14:textId="77777777" w:rsidTr="00C02427">
        <w:tc>
          <w:tcPr>
            <w:tcW w:w="1106" w:type="pct"/>
            <w:tcMar>
              <w:left w:w="29" w:type="dxa"/>
              <w:right w:w="29" w:type="dxa"/>
            </w:tcMar>
          </w:tcPr>
          <w:p w14:paraId="20B9E545"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“Unit”</w:t>
            </w:r>
          </w:p>
        </w:tc>
        <w:tc>
          <w:tcPr>
            <w:tcW w:w="3894" w:type="pct"/>
            <w:tcMar>
              <w:left w:w="29" w:type="dxa"/>
              <w:right w:w="29" w:type="dxa"/>
            </w:tcMar>
          </w:tcPr>
          <w:p w14:paraId="169D473C"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 xml:space="preserve">The interest of the unit holder, which consists </w:t>
            </w:r>
            <w:proofErr w:type="gramStart"/>
            <w:r w:rsidRPr="00E3606C">
              <w:rPr>
                <w:rFonts w:ascii="BNPP Sans Light" w:hAnsi="BNPP Sans Light"/>
                <w:lang w:val="en-GB"/>
              </w:rPr>
              <w:t>of,</w:t>
            </w:r>
            <w:proofErr w:type="gramEnd"/>
            <w:r w:rsidRPr="00E3606C">
              <w:rPr>
                <w:rFonts w:ascii="BNPP Sans Light" w:hAnsi="BNPP Sans Light"/>
                <w:lang w:val="en-GB"/>
              </w:rPr>
              <w:t xml:space="preserve"> each Unit representing one undivided share in the net assets of the Scheme.</w:t>
            </w:r>
          </w:p>
        </w:tc>
      </w:tr>
      <w:tr w:rsidR="009D439A" w:rsidRPr="00E3606C" w14:paraId="228A15BF" w14:textId="77777777" w:rsidTr="00C02427">
        <w:tc>
          <w:tcPr>
            <w:tcW w:w="1106" w:type="pct"/>
            <w:tcMar>
              <w:left w:w="29" w:type="dxa"/>
              <w:right w:w="29" w:type="dxa"/>
            </w:tcMar>
          </w:tcPr>
          <w:p w14:paraId="02DB72F5" w14:textId="77777777" w:rsidR="009D439A" w:rsidRPr="00E3606C" w:rsidRDefault="009D439A" w:rsidP="00C02427">
            <w:pPr>
              <w:spacing w:line="240" w:lineRule="atLeast"/>
              <w:jc w:val="both"/>
              <w:rPr>
                <w:rFonts w:ascii="BNPP Sans Light" w:hAnsi="BNPP Sans Light"/>
                <w:b/>
                <w:lang w:val="en-GB"/>
              </w:rPr>
            </w:pPr>
            <w:r w:rsidRPr="00E3606C">
              <w:rPr>
                <w:rFonts w:ascii="BNPP Sans Light" w:hAnsi="BNPP Sans Light"/>
                <w:b/>
                <w:lang w:val="en-GB"/>
              </w:rPr>
              <w:t>"Unit holder" or "investor"</w:t>
            </w:r>
          </w:p>
        </w:tc>
        <w:tc>
          <w:tcPr>
            <w:tcW w:w="3894" w:type="pct"/>
            <w:tcMar>
              <w:left w:w="29" w:type="dxa"/>
              <w:right w:w="29" w:type="dxa"/>
            </w:tcMar>
          </w:tcPr>
          <w:p w14:paraId="37D5DCF3" w14:textId="77777777" w:rsidR="009D439A" w:rsidRPr="00E3606C" w:rsidRDefault="009D439A" w:rsidP="00C02427">
            <w:pPr>
              <w:spacing w:line="240" w:lineRule="atLeast"/>
              <w:jc w:val="both"/>
              <w:rPr>
                <w:rFonts w:ascii="BNPP Sans Light" w:hAnsi="BNPP Sans Light"/>
                <w:lang w:val="en-GB"/>
              </w:rPr>
            </w:pPr>
            <w:r w:rsidRPr="00E3606C">
              <w:rPr>
                <w:rFonts w:ascii="BNPP Sans Light" w:hAnsi="BNPP Sans Light"/>
                <w:lang w:val="en-GB"/>
              </w:rPr>
              <w:t>A person holding Unit(s) in the Scheme of the Mutual Fund.</w:t>
            </w:r>
          </w:p>
        </w:tc>
      </w:tr>
    </w:tbl>
    <w:p w14:paraId="79CB9E73" w14:textId="77777777" w:rsidR="009D439A" w:rsidRPr="009D439A" w:rsidRDefault="009D439A">
      <w:pPr>
        <w:rPr>
          <w:lang w:val="en-US"/>
        </w:rPr>
      </w:pPr>
    </w:p>
    <w:sectPr w:rsidR="009D439A" w:rsidRPr="009D439A" w:rsidSect="00D470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NPP Sans Light">
    <w:panose1 w:val="02000503020000020004"/>
    <w:charset w:val="00"/>
    <w:family w:val="modern"/>
    <w:notTrueType/>
    <w:pitch w:val="variable"/>
    <w:sig w:usb0="A00002AF" w:usb1="4000204A"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0912F7"/>
    <w:multiLevelType w:val="hybridMultilevel"/>
    <w:tmpl w:val="2A2E882A"/>
    <w:lvl w:ilvl="0" w:tplc="0409000F">
      <w:start w:val="1"/>
      <w:numFmt w:val="decimal"/>
      <w:lvlText w:val="%1."/>
      <w:lvlJc w:val="left"/>
      <w:pPr>
        <w:ind w:left="360" w:hanging="360"/>
      </w:pPr>
    </w:lvl>
    <w:lvl w:ilvl="1" w:tplc="3350EC1E">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4907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460"/>
    <w:rsid w:val="00256D20"/>
    <w:rsid w:val="003735B5"/>
    <w:rsid w:val="005A58DE"/>
    <w:rsid w:val="006A1E55"/>
    <w:rsid w:val="00905838"/>
    <w:rsid w:val="009D439A"/>
    <w:rsid w:val="00A61896"/>
    <w:rsid w:val="00CC6460"/>
    <w:rsid w:val="00D47041"/>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9EE4B"/>
  <w15:chartTrackingRefBased/>
  <w15:docId w15:val="{9CF2B383-BABE-4A27-AD9A-2189F80FC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2392</Words>
  <Characters>12539</Characters>
  <Application>Microsoft Office Word</Application>
  <DocSecurity>0</DocSecurity>
  <Lines>348</Lines>
  <Paragraphs>165</Paragraphs>
  <ScaleCrop>false</ScaleCrop>
  <Company/>
  <LinksUpToDate>false</LinksUpToDate>
  <CharactersWithSpaces>14766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Heena HAWALDAR</dc:creator>
  <cp:keywords/>
  <dc:description/>
  <cp:lastModifiedBy>Radha SHAH</cp:lastModifiedBy>
  <cp:revision>2</cp:revision>
  <dcterms:created xsi:type="dcterms:W3CDTF">2025-11-06T10:15:00Z</dcterms:created>
  <dcterms:modified xsi:type="dcterms:W3CDTF">2025-11-06T10:15:00Z</dcterms:modified>
</cp:coreProperties>
</file>